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theme/theme1.xml" ContentType="application/vnd.openxmlformats-officedocument.theme+xml"/>
  <Override PartName="/word/footer1.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center"/>
        <w:rPr>
          <w:b/>
          <w:b/>
          <w:lang w:val="ru-RU"/>
        </w:rPr>
      </w:pPr>
      <w:r>
        <w:rPr>
          <w:b/>
          <w:sz w:val="24"/>
          <w:szCs w:val="24"/>
          <w:lang w:val="ru-RU"/>
        </w:rPr>
        <w:t>ДОГОВОР ПОСТАВКИ № ___</w:t>
      </w:r>
    </w:p>
    <w:p>
      <w:pPr>
        <w:pStyle w:val="Normal"/>
        <w:jc w:val="center"/>
        <w:rPr>
          <w:b/>
          <w:b/>
          <w:sz w:val="24"/>
          <w:szCs w:val="24"/>
          <w:lang w:val="ru-RU"/>
        </w:rPr>
      </w:pPr>
      <w:r>
        <w:rPr>
          <w:b/>
          <w:sz w:val="24"/>
          <w:szCs w:val="24"/>
          <w:lang w:val="ru-RU"/>
        </w:rPr>
      </w:r>
    </w:p>
    <w:p>
      <w:pPr>
        <w:pStyle w:val="Normal"/>
        <w:rPr>
          <w:lang w:val="ru-RU"/>
        </w:rPr>
      </w:pPr>
      <w:r>
        <w:rPr>
          <w:sz w:val="24"/>
          <w:szCs w:val="24"/>
          <w:lang w:val="ru-RU"/>
        </w:rPr>
        <w:t xml:space="preserve">г. Нижний Тагил  </w:t>
        <w:tab/>
        <w:tab/>
        <w:tab/>
        <w:tab/>
        <w:tab/>
        <w:t xml:space="preserve">                                                     «____» __________ 20__ г.</w:t>
      </w:r>
    </w:p>
    <w:p>
      <w:pPr>
        <w:pStyle w:val="Normal"/>
        <w:ind w:firstLine="540"/>
        <w:jc w:val="both"/>
        <w:rPr>
          <w:sz w:val="24"/>
          <w:szCs w:val="24"/>
          <w:lang w:val="ru-RU"/>
        </w:rPr>
      </w:pPr>
      <w:r>
        <w:rPr>
          <w:sz w:val="24"/>
          <w:szCs w:val="24"/>
          <w:lang w:val="ru-RU"/>
        </w:rPr>
      </w:r>
    </w:p>
    <w:p>
      <w:pPr>
        <w:pStyle w:val="Normal"/>
        <w:widowControl/>
        <w:suppressAutoHyphens w:val="true"/>
        <w:overflowPunct w:val="true"/>
        <w:bidi w:val="0"/>
        <w:spacing w:before="0" w:after="0"/>
        <w:ind w:left="0" w:right="57" w:firstLine="567"/>
        <w:jc w:val="both"/>
        <w:textAlignment w:val="baseline"/>
        <w:rPr>
          <w:lang w:val="ru-RU"/>
        </w:rPr>
      </w:pPr>
      <w:permStart w:id="1883141494" w:edGrp="everyone"/>
      <w:r>
        <w:rPr>
          <w:sz w:val="24"/>
          <w:szCs w:val="24"/>
          <w:lang w:val="ru-RU"/>
        </w:rPr>
        <w:t xml:space="preserve">_________________________, именуемое в дальнейшем «Поставщик», в лице _______________, действующего на основании _________________________________, с одной стороны, и </w:t>
      </w:r>
      <w:permEnd w:id="1883141494"/>
    </w:p>
    <w:p>
      <w:pPr>
        <w:pStyle w:val="Normal"/>
        <w:widowControl/>
        <w:suppressAutoHyphens w:val="true"/>
        <w:overflowPunct w:val="true"/>
        <w:bidi w:val="0"/>
        <w:spacing w:before="0" w:after="0"/>
        <w:ind w:left="0" w:right="57" w:firstLine="567"/>
        <w:jc w:val="both"/>
        <w:textAlignment w:val="baseline"/>
        <w:rPr>
          <w:sz w:val="24"/>
          <w:szCs w:val="24"/>
        </w:rPr>
      </w:pPr>
      <w:r>
        <w:rPr>
          <w:b/>
          <w:sz w:val="24"/>
          <w:szCs w:val="24"/>
          <w:lang w:val="ru-RU"/>
        </w:rPr>
        <w:t>ООО «Атмосфера вкуса»</w:t>
      </w:r>
      <w:r>
        <w:rPr>
          <w:sz w:val="24"/>
          <w:szCs w:val="24"/>
          <w:lang w:val="ru-RU"/>
        </w:rPr>
        <w:t>, именуемое в дальнейшем «Покупатель», в лице Директора Никифоровой Оксаны Юрьевны, действующе</w:t>
      </w:r>
      <w:r>
        <w:rPr>
          <w:sz w:val="24"/>
          <w:szCs w:val="24"/>
          <w:lang w:val="ru-RU"/>
        </w:rPr>
        <w:t>го</w:t>
      </w:r>
      <w:r>
        <w:rPr>
          <w:sz w:val="24"/>
          <w:szCs w:val="24"/>
          <w:lang w:val="ru-RU"/>
        </w:rPr>
        <w:t xml:space="preserve"> на основании Устава, с другой стороны, заключили настоящий договор о нижеследующем:</w:t>
      </w:r>
    </w:p>
    <w:p>
      <w:pPr>
        <w:pStyle w:val="Normal"/>
        <w:ind w:firstLine="540"/>
        <w:jc w:val="both"/>
        <w:rPr>
          <w:sz w:val="24"/>
          <w:szCs w:val="24"/>
          <w:lang w:val="ru-RU"/>
        </w:rPr>
      </w:pPr>
      <w:r>
        <w:rPr>
          <w:sz w:val="24"/>
          <w:szCs w:val="24"/>
          <w:lang w:val="ru-RU"/>
        </w:rPr>
      </w:r>
    </w:p>
    <w:p>
      <w:pPr>
        <w:pStyle w:val="Normal"/>
        <w:jc w:val="center"/>
        <w:rPr>
          <w:b/>
          <w:b/>
          <w:lang w:val="ru-RU"/>
        </w:rPr>
      </w:pPr>
      <w:r>
        <w:rPr>
          <w:b/>
          <w:sz w:val="24"/>
          <w:szCs w:val="24"/>
          <w:lang w:val="ru-RU"/>
        </w:rPr>
        <w:t xml:space="preserve">1. ПРЕДМЕТ ДОГОВОРА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1.1. Поставщик передает в собственность Покупателя Товар, а Покупатель принимает его и оплачивает в срок в количестве, качестве и ассортименте, указанных в накладных и счетах-фактурах, являющихся неотъемлемой частью договора.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 xml:space="preserve">1.2. Поставка Товара осуществляется на основании заявки, переданной Покупателем путем факсимильной, телефонной, электронной связи или в письменной форме через представителя Покупателя.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1.3. Заявки Покупателя, поданные в рамках реализации настоящего Договора, обязательны для выполнения Поставщиком. В случае наличия сбоев в поставках, неосуществления поставок по поступившим от Покупателя заказам, Поставщик несет ответственность, предусмотренную настоящим Договором и действующим законодательством РФ. Поставщик не вправе поставлять Товар, не указанный в заявке Покупателя, корректировать заказ в одностороннем порядке.</w:t>
      </w:r>
    </w:p>
    <w:p>
      <w:pPr>
        <w:pStyle w:val="Normal"/>
        <w:ind w:firstLine="540"/>
        <w:jc w:val="both"/>
        <w:rPr>
          <w:sz w:val="24"/>
          <w:szCs w:val="24"/>
          <w:lang w:val="ru-RU"/>
        </w:rPr>
      </w:pPr>
      <w:r>
        <w:rPr>
          <w:sz w:val="24"/>
          <w:szCs w:val="24"/>
          <w:lang w:val="ru-RU"/>
        </w:rPr>
      </w:r>
    </w:p>
    <w:p>
      <w:pPr>
        <w:pStyle w:val="Normal"/>
        <w:jc w:val="center"/>
        <w:rPr>
          <w:b/>
          <w:b/>
          <w:lang w:val="ru-RU"/>
        </w:rPr>
      </w:pPr>
      <w:r>
        <w:rPr>
          <w:b/>
          <w:sz w:val="24"/>
          <w:szCs w:val="24"/>
          <w:lang w:val="ru-RU"/>
        </w:rPr>
        <w:t xml:space="preserve">2. ЦЕНА ТОВАРА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2.1. Цена Товара согласуется сторонами при подаче заявки и фиксируется в накладных и счетах-фактурах (с учетом НДС), являющихся неотъемлемой частью договора.  При изменении цены Поставщик обязан уведомить Покупателя за 30 календарных дней до предполагаемой даты изменения. В случае не исполнения данного условия Покупатель имеет право оплатить Товар по ранее действовавшим ценам.</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2.2. Цена Товара включает стоимость товара и упаковки, затраты по хранению товара на складе Поставщика, оформлению сертификата качества, декларации соответствия, гигиенического сертификата, свидетельства о соответствии товара системе сертификации  ГОСТ  РФ, технического паспорта и другой необходимой документации.</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2.3. Товарные накладные фиксируют факт принятия Товара Покупателем, однако не являются документами, подтверждающими согласие сторон на изменение стоимости Товара. Представители Покупателя, осуществившие приемку Товара путем подписания товарных накладных, не уполномочены на изменение условий поставки Товара, в т.ч. касающихся цены Товара.</w:t>
      </w:r>
    </w:p>
    <w:p>
      <w:pPr>
        <w:pStyle w:val="Normal"/>
        <w:ind w:firstLine="540"/>
        <w:jc w:val="both"/>
        <w:rPr>
          <w:sz w:val="24"/>
          <w:szCs w:val="24"/>
          <w:lang w:val="ru-RU"/>
        </w:rPr>
      </w:pPr>
      <w:r>
        <w:rPr>
          <w:sz w:val="24"/>
          <w:szCs w:val="24"/>
          <w:lang w:val="ru-RU"/>
        </w:rPr>
      </w:r>
    </w:p>
    <w:p>
      <w:pPr>
        <w:pStyle w:val="Normal"/>
        <w:jc w:val="center"/>
        <w:rPr>
          <w:b/>
          <w:b/>
          <w:lang w:val="ru-RU"/>
        </w:rPr>
      </w:pPr>
      <w:r>
        <w:rPr>
          <w:b/>
          <w:sz w:val="24"/>
          <w:szCs w:val="24"/>
          <w:lang w:val="ru-RU"/>
        </w:rPr>
        <w:t xml:space="preserve">3. КАЧЕСТВО ТОВАРА </w:t>
      </w:r>
    </w:p>
    <w:p>
      <w:pPr>
        <w:pStyle w:val="Style26"/>
        <w:widowControl/>
        <w:suppressAutoHyphens w:val="true"/>
        <w:overflowPunct w:val="false"/>
        <w:bidi w:val="0"/>
        <w:spacing w:before="0" w:after="0"/>
        <w:ind w:left="0" w:right="57" w:firstLine="567"/>
        <w:jc w:val="both"/>
        <w:textAlignment w:val="auto"/>
        <w:rPr>
          <w:sz w:val="24"/>
          <w:szCs w:val="24"/>
        </w:rPr>
      </w:pPr>
      <w:r>
        <w:rPr>
          <w:sz w:val="24"/>
          <w:szCs w:val="24"/>
        </w:rPr>
        <w:t>3.1. Качество поставляемого Товара должно соответствовать требованиям соответствующих ГОСТов, СанПиНов, принятых для данного вида Товаров, декларациям о соответствии и сертификатам соответствия.</w:t>
      </w:r>
    </w:p>
    <w:p>
      <w:pPr>
        <w:pStyle w:val="Style26"/>
        <w:widowControl/>
        <w:suppressAutoHyphens w:val="true"/>
        <w:overflowPunct w:val="false"/>
        <w:bidi w:val="0"/>
        <w:spacing w:before="0" w:after="0"/>
        <w:ind w:left="0" w:right="57" w:firstLine="567"/>
        <w:jc w:val="both"/>
        <w:textAlignment w:val="auto"/>
        <w:rPr>
          <w:sz w:val="24"/>
          <w:szCs w:val="24"/>
        </w:rPr>
      </w:pPr>
      <w:r>
        <w:rPr>
          <w:sz w:val="24"/>
          <w:szCs w:val="24"/>
        </w:rPr>
        <w:t>3.2. Поставщик обязан предоставить Покупателю документацию на Товар (сертификат качества,  сертификат соответствия, декларацию соответствия, ветеринарное свидетельство и др.). Соответствующими документами должна укомплектовываться каждая коробка поставляемой партии товара, путем их вложения в коробку с товаром.</w:t>
      </w:r>
    </w:p>
    <w:p>
      <w:pPr>
        <w:pStyle w:val="Style26"/>
        <w:widowControl/>
        <w:suppressAutoHyphens w:val="true"/>
        <w:overflowPunct w:val="false"/>
        <w:bidi w:val="0"/>
        <w:spacing w:before="0" w:after="0"/>
        <w:ind w:left="0" w:right="57" w:firstLine="567"/>
        <w:jc w:val="both"/>
        <w:textAlignment w:val="auto"/>
        <w:rPr>
          <w:sz w:val="24"/>
          <w:szCs w:val="24"/>
        </w:rPr>
      </w:pPr>
      <w:r>
        <w:rPr>
          <w:sz w:val="24"/>
          <w:szCs w:val="24"/>
        </w:rPr>
        <w:t>3.3. Поставщик обязуется поставлять Товар со сроком реализации не менее 5/6 от срока годности Товара, температурой в теле Товара не выше -18ºС. В случае поставки Товара, не соответствующего данным условиям, Покупатель имеет право отказаться от приемки такого Товара.</w:t>
      </w:r>
    </w:p>
    <w:p>
      <w:pPr>
        <w:pStyle w:val="Style26"/>
        <w:jc w:val="both"/>
        <w:rPr>
          <w:sz w:val="24"/>
          <w:szCs w:val="24"/>
        </w:rPr>
      </w:pPr>
      <w:r>
        <w:rPr>
          <w:sz w:val="24"/>
          <w:szCs w:val="24"/>
        </w:rPr>
      </w:r>
    </w:p>
    <w:p>
      <w:pPr>
        <w:pStyle w:val="Normal"/>
        <w:jc w:val="center"/>
        <w:rPr>
          <w:b/>
          <w:b/>
          <w:lang w:val="ru-RU"/>
        </w:rPr>
      </w:pPr>
      <w:r>
        <w:rPr>
          <w:b/>
          <w:sz w:val="24"/>
          <w:szCs w:val="24"/>
          <w:lang w:val="ru-RU"/>
        </w:rPr>
        <w:t>4. ПОРЯДОК, УСЛОВИЯ ПОСТАВКИ И ПРИЕМКИ ТОВАРА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4.1. Товар отгружается в адрес грузополучателя, указанный Покупателем.</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4.2. Доставка товара осуществляется по соглашению сторон силами Покупателя либо Поставщика.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4.3. Упаковка товара должна обеспечивать его сохранность во время транспортировки.</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4.4. Поставщик передает Покупателю следующие документы: накладную, счет-фактуру, сертификаты качества (декларация о соответствии, гигиенические сертификаты), ветеринарное свидетельство, другие документы, предусмотренные настоящим договором.</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4.5. Приемка Товара по количеству, ассортименту, целостности упаковки и качеству (видимые недостатки) производится на складе Покупателя в течение 30 рабочих дней с момента поступления Товара на склад Покупателя. Выявленные после приемки недостатки Товара по качеству, количеству, ассортименту, целостности упаковки в процессе его реализации третьими лицами, а также в случае возврата потребителями принимаются Поставщиком в течение срока годности Товара. В случае выявления расхождений Покупатель обязан составить акт о выявленном расхождении и направить Поставщику в течение 5 рабочих дней с момента обнаружения расхождений по факсу или по электронной почте. В этом случае Поставщик обязан в течение 48 часов предоставить своего представителя для осмотра товара и составления акта. Если по истечении данного времени представитель Поставщика не прибыл, то Покупатель вправе составить акт в одностороннем порядке.</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Претензии по качеству (скрытые недостатки) товара могут быть предъявлены в течение всего срока годности Товара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4.6. При выявлении Товара, не соответствующего условиям настоящего договора, Покупатель вправе не принимать Товар, не производить его оплату и вернуть Поставщику. В случае если товар оплачен, Поставщик возвращает Покупателю стоимость Товара в течение 5 (пяти) банковских дней с момента получения претензии. Поставщик обязан возместить затраты Покупателя на доставку Товара, не соответствующего условиям настоящего договора. Поставщик обязан вывезти товар, не соответствующий условиям настоящего договора, своими силами и за свой счет. В случае если Поставщик не вывез Товар, не соответствующий условиям настоящего договора, в течение 7 (семи) банковских дней с момента получения уведомления от Покупателя, Покупатель имеет право по своему усмотрению распорядиться указанным Товаром либо выставить Поставщику услуги по хранению данного Товара из расчета 0,1%  от стоимости невывезенного товара за сутки хранения.</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4.7. Под товаром, не соответствующим условиям настоящего договора, понимается товар ненадлежащего качества, в упаковке, не соответствующей условиям настоящего договора, без соответствующих сопроводительных документов, товар со сроком реализации менее 5/6 от срока годности Товара, товар, поставленный не на основании заявки Покупателя.</w:t>
      </w:r>
    </w:p>
    <w:p>
      <w:pPr>
        <w:pStyle w:val="Normal"/>
        <w:widowControl/>
        <w:suppressAutoHyphens w:val="true"/>
        <w:overflowPunct w:val="true"/>
        <w:bidi w:val="0"/>
        <w:spacing w:before="0" w:after="0"/>
        <w:ind w:left="0" w:right="57" w:firstLine="567"/>
        <w:jc w:val="both"/>
        <w:textAlignment w:val="baseline"/>
        <w:rPr>
          <w:sz w:val="24"/>
          <w:szCs w:val="24"/>
        </w:rPr>
      </w:pPr>
      <w:r>
        <w:rPr>
          <w:sz w:val="24"/>
          <w:szCs w:val="24"/>
          <w:lang w:val="ru-RU"/>
        </w:rPr>
        <w:t xml:space="preserve">4.8. При изменении сроков годности Товара, Поставщик обязан письменно уведомить об этом Покупателя за 30 календарных дней до предполагаемой даты изменения. </w:t>
      </w:r>
      <w:r>
        <w:rPr>
          <w:sz w:val="24"/>
          <w:szCs w:val="24"/>
          <w:lang w:val="x-none"/>
        </w:rPr>
        <w:t xml:space="preserve">В случае если в процессе реализации </w:t>
      </w:r>
      <w:r>
        <w:rPr>
          <w:sz w:val="24"/>
          <w:szCs w:val="24"/>
          <w:lang w:val="ru-RU"/>
        </w:rPr>
        <w:t xml:space="preserve">будет </w:t>
      </w:r>
      <w:r>
        <w:rPr>
          <w:sz w:val="24"/>
          <w:szCs w:val="24"/>
          <w:lang w:val="x-none"/>
        </w:rPr>
        <w:t xml:space="preserve">обнаружен </w:t>
      </w:r>
      <w:r>
        <w:rPr>
          <w:sz w:val="24"/>
          <w:szCs w:val="24"/>
          <w:lang w:val="ru-RU"/>
        </w:rPr>
        <w:t>Товар с</w:t>
      </w:r>
      <w:r>
        <w:rPr>
          <w:sz w:val="24"/>
          <w:szCs w:val="24"/>
          <w:lang w:val="x-none"/>
        </w:rPr>
        <w:t xml:space="preserve"> измененными сроками годности</w:t>
      </w:r>
      <w:r>
        <w:rPr>
          <w:sz w:val="24"/>
          <w:szCs w:val="24"/>
          <w:lang w:val="ru-RU"/>
        </w:rPr>
        <w:t xml:space="preserve"> и Покупателем будет установлено, что Поставщик не исполнил свою обязанность по </w:t>
      </w:r>
      <w:r>
        <w:rPr>
          <w:sz w:val="24"/>
          <w:szCs w:val="24"/>
          <w:lang w:val="x-none"/>
        </w:rPr>
        <w:t>уведомлени</w:t>
      </w:r>
      <w:r>
        <w:rPr>
          <w:sz w:val="24"/>
          <w:szCs w:val="24"/>
          <w:lang w:val="ru-RU"/>
        </w:rPr>
        <w:t xml:space="preserve">ю </w:t>
      </w:r>
      <w:r>
        <w:rPr>
          <w:sz w:val="24"/>
          <w:szCs w:val="24"/>
        </w:rPr>
        <w:t xml:space="preserve">Покупателя, последний </w:t>
      </w:r>
      <w:r>
        <w:rPr>
          <w:sz w:val="24"/>
          <w:szCs w:val="24"/>
          <w:lang w:val="x-none"/>
        </w:rPr>
        <w:t>имеет право</w:t>
      </w:r>
      <w:r>
        <w:rPr>
          <w:sz w:val="24"/>
          <w:szCs w:val="24"/>
        </w:rPr>
        <w:t>:</w:t>
      </w:r>
    </w:p>
    <w:p>
      <w:pPr>
        <w:pStyle w:val="Normal"/>
        <w:widowControl/>
        <w:numPr>
          <w:ilvl w:val="0"/>
          <w:numId w:val="1"/>
        </w:numPr>
        <w:suppressAutoHyphens w:val="true"/>
        <w:overflowPunct w:val="false"/>
        <w:bidi w:val="0"/>
        <w:spacing w:before="0" w:after="0"/>
        <w:ind w:left="737" w:right="57" w:hanging="340"/>
        <w:jc w:val="both"/>
        <w:textAlignment w:val="auto"/>
        <w:rPr>
          <w:sz w:val="24"/>
          <w:szCs w:val="24"/>
        </w:rPr>
      </w:pPr>
      <w:r>
        <w:rPr>
          <w:sz w:val="24"/>
          <w:szCs w:val="24"/>
          <w:lang w:val="ru-RU"/>
        </w:rPr>
        <w:t xml:space="preserve">отказаться </w:t>
      </w:r>
      <w:r>
        <w:rPr>
          <w:sz w:val="24"/>
          <w:szCs w:val="24"/>
          <w:lang w:val="x-none"/>
        </w:rPr>
        <w:t xml:space="preserve">от реализации </w:t>
      </w:r>
      <w:r>
        <w:rPr>
          <w:sz w:val="24"/>
          <w:szCs w:val="24"/>
          <w:lang w:val="ru-RU"/>
        </w:rPr>
        <w:t xml:space="preserve">такого </w:t>
      </w:r>
      <w:r>
        <w:rPr>
          <w:sz w:val="24"/>
          <w:szCs w:val="24"/>
          <w:lang w:val="x-none"/>
        </w:rPr>
        <w:t>Товар</w:t>
      </w:r>
      <w:r>
        <w:rPr>
          <w:sz w:val="24"/>
          <w:szCs w:val="24"/>
          <w:lang w:val="ru-RU"/>
        </w:rPr>
        <w:t xml:space="preserve">а и потребовать от Поставщика возврата денежных средств за Товар; </w:t>
      </w:r>
    </w:p>
    <w:p>
      <w:pPr>
        <w:pStyle w:val="Normal"/>
        <w:widowControl/>
        <w:numPr>
          <w:ilvl w:val="0"/>
          <w:numId w:val="1"/>
        </w:numPr>
        <w:suppressAutoHyphens w:val="true"/>
        <w:overflowPunct w:val="false"/>
        <w:bidi w:val="0"/>
        <w:spacing w:before="0" w:after="0"/>
        <w:ind w:left="737" w:right="57" w:hanging="340"/>
        <w:jc w:val="both"/>
        <w:textAlignment w:val="auto"/>
        <w:rPr>
          <w:lang w:val="ru-RU"/>
        </w:rPr>
      </w:pPr>
      <w:r>
        <w:rPr>
          <w:sz w:val="24"/>
          <w:szCs w:val="24"/>
          <w:lang w:val="ru-RU"/>
        </w:rPr>
        <w:t xml:space="preserve">потребовать замены такого Товара на Товар с остаточным сроком реализации не менее 5/6 от общего срока годности. </w:t>
      </w:r>
    </w:p>
    <w:p>
      <w:pPr>
        <w:pStyle w:val="Normal"/>
        <w:widowControl/>
        <w:suppressAutoHyphens w:val="true"/>
        <w:overflowPunct w:val="true"/>
        <w:bidi w:val="0"/>
        <w:spacing w:before="0" w:after="0"/>
        <w:ind w:left="0" w:right="57" w:firstLine="567"/>
        <w:jc w:val="both"/>
        <w:textAlignment w:val="baseline"/>
        <w:rPr>
          <w:sz w:val="24"/>
          <w:szCs w:val="24"/>
        </w:rPr>
      </w:pPr>
      <w:r>
        <w:rPr>
          <w:sz w:val="24"/>
          <w:szCs w:val="24"/>
          <w:lang w:val="x-none"/>
        </w:rPr>
        <w:t xml:space="preserve">Замена </w:t>
      </w:r>
      <w:r>
        <w:rPr>
          <w:sz w:val="24"/>
          <w:szCs w:val="24"/>
          <w:lang w:val="ru-RU"/>
        </w:rPr>
        <w:t xml:space="preserve">и возврат Товара </w:t>
      </w:r>
      <w:r>
        <w:rPr>
          <w:sz w:val="24"/>
          <w:szCs w:val="24"/>
          <w:lang w:val="x-none"/>
        </w:rPr>
        <w:t xml:space="preserve">осуществляется </w:t>
      </w:r>
      <w:r>
        <w:rPr>
          <w:sz w:val="24"/>
          <w:szCs w:val="24"/>
          <w:lang w:val="ru-RU"/>
        </w:rPr>
        <w:t xml:space="preserve">силами и </w:t>
      </w:r>
      <w:r>
        <w:rPr>
          <w:sz w:val="24"/>
          <w:szCs w:val="24"/>
          <w:lang w:val="x-none"/>
        </w:rPr>
        <w:t>за счёт Поставщика.</w:t>
      </w:r>
    </w:p>
    <w:p>
      <w:pPr>
        <w:pStyle w:val="Normal"/>
        <w:ind w:firstLine="540"/>
        <w:jc w:val="both"/>
        <w:rPr>
          <w:sz w:val="24"/>
          <w:szCs w:val="24"/>
          <w:lang w:val="x-none"/>
        </w:rPr>
      </w:pPr>
      <w:r>
        <w:rPr>
          <w:sz w:val="24"/>
          <w:szCs w:val="24"/>
          <w:lang w:val="x-none"/>
        </w:rPr>
      </w:r>
    </w:p>
    <w:p>
      <w:pPr>
        <w:pStyle w:val="Normal"/>
        <w:ind w:firstLine="540"/>
        <w:jc w:val="center"/>
        <w:rPr>
          <w:b/>
          <w:b/>
          <w:lang w:val="ru-RU"/>
        </w:rPr>
      </w:pPr>
      <w:r>
        <w:rPr>
          <w:b/>
          <w:sz w:val="24"/>
          <w:szCs w:val="24"/>
          <w:lang w:val="ru-RU"/>
        </w:rPr>
        <w:t>5. ТАРА, УПАКОВКА ТОВАРА</w:t>
      </w:r>
    </w:p>
    <w:p>
      <w:pPr>
        <w:pStyle w:val="Style26"/>
        <w:widowControl/>
        <w:suppressAutoHyphens w:val="true"/>
        <w:overflowPunct w:val="false"/>
        <w:bidi w:val="0"/>
        <w:spacing w:before="0" w:after="0"/>
        <w:ind w:left="0" w:right="57" w:firstLine="567"/>
        <w:jc w:val="both"/>
        <w:textAlignment w:val="auto"/>
        <w:rPr>
          <w:lang w:val="x-none"/>
        </w:rPr>
      </w:pPr>
      <w:r>
        <w:rPr>
          <w:sz w:val="24"/>
          <w:szCs w:val="24"/>
          <w:lang w:val="x-none"/>
        </w:rPr>
        <w:t>5.1. Товар поставляется на евро-поддонах. По соглашению сторон евро-поддоны могут быть возвращены Поставщику при условии вывоза силами и за счет Поставщика.</w:t>
      </w:r>
    </w:p>
    <w:p>
      <w:pPr>
        <w:pStyle w:val="Style26"/>
        <w:widowControl/>
        <w:suppressAutoHyphens w:val="true"/>
        <w:overflowPunct w:val="false"/>
        <w:bidi w:val="0"/>
        <w:spacing w:before="0" w:after="0"/>
        <w:ind w:left="0" w:right="57" w:firstLine="567"/>
        <w:jc w:val="both"/>
        <w:textAlignment w:val="auto"/>
        <w:rPr>
          <w:lang w:val="x-none"/>
        </w:rPr>
      </w:pPr>
      <w:r>
        <w:rPr>
          <w:sz w:val="24"/>
          <w:szCs w:val="24"/>
          <w:lang w:val="x-none"/>
        </w:rPr>
        <w:t>5.2. Упаковка Товара должна обеспечивать сохранность Товара во время транспортировки соответствующим видом транспорта (воздушным, морским, автомобильным, железнодорожным), при выполнении погрузочно-разгрузочных работ и при хранении на складе Покупателя.</w:t>
      </w:r>
    </w:p>
    <w:p>
      <w:pPr>
        <w:pStyle w:val="Style26"/>
        <w:widowControl/>
        <w:suppressAutoHyphens w:val="true"/>
        <w:overflowPunct w:val="false"/>
        <w:bidi w:val="0"/>
        <w:spacing w:before="0" w:after="0"/>
        <w:ind w:left="0" w:right="57" w:firstLine="567"/>
        <w:jc w:val="both"/>
        <w:textAlignment w:val="auto"/>
        <w:rPr>
          <w:lang w:val="x-none"/>
        </w:rPr>
      </w:pPr>
      <w:r>
        <w:rPr>
          <w:sz w:val="24"/>
          <w:szCs w:val="24"/>
          <w:lang w:val="x-none"/>
        </w:rPr>
        <w:t xml:space="preserve">Поставщик несет ответственность за порчу, ущерб и утрату Товара в следствии некачественной или ненадлежащей упаковки.   </w:t>
      </w:r>
    </w:p>
    <w:p>
      <w:pPr>
        <w:pStyle w:val="Style26"/>
        <w:widowControl/>
        <w:suppressAutoHyphens w:val="true"/>
        <w:overflowPunct w:val="false"/>
        <w:bidi w:val="0"/>
        <w:spacing w:before="0" w:after="0"/>
        <w:ind w:left="0" w:right="57" w:firstLine="567"/>
        <w:jc w:val="both"/>
        <w:textAlignment w:val="auto"/>
        <w:rPr>
          <w:lang w:val="x-none"/>
        </w:rPr>
      </w:pPr>
      <w:r>
        <w:rPr>
          <w:sz w:val="24"/>
          <w:szCs w:val="24"/>
          <w:lang w:val="x-none"/>
        </w:rPr>
        <w:t>5.3. Поставщик гарантирует, что маркировка Товара отвечает требованиям законодательства РФ и позволяет производить немедленную и безошибочную идентификацию Товара в соответствии с заявкой Покупателя. Если в соответствии с действующим  законодательством сведения  о Товаре  должны  быть  зафиксированы в авторизированных информационных системах (ЕГАИС, Меркурий, Национальная система маркировки-Честный знак и  другие), отсутствие/невозможность считывания  такой  информации,  либо  ее недостоверность (сведения  внесены не  полностью, внесены некорректно и  другое) дает право Покупателю, по собственному выбору принять одно из следующих решений: отказаться  от  приемки Товара, принятый Товар вернуть Поставщику, либо утилизировать такой Товар, в порядке, предусмотренном настоящим договором.</w:t>
      </w:r>
    </w:p>
    <w:p>
      <w:pPr>
        <w:pStyle w:val="Style26"/>
        <w:widowControl/>
        <w:suppressAutoHyphens w:val="true"/>
        <w:overflowPunct w:val="false"/>
        <w:bidi w:val="0"/>
        <w:spacing w:before="0" w:after="0"/>
        <w:ind w:left="0" w:right="57" w:firstLine="567"/>
        <w:jc w:val="both"/>
        <w:textAlignment w:val="auto"/>
        <w:rPr>
          <w:lang w:val="x-none"/>
        </w:rPr>
      </w:pPr>
      <w:r>
        <w:rPr>
          <w:sz w:val="24"/>
          <w:szCs w:val="24"/>
          <w:lang w:val="x-none"/>
        </w:rPr>
        <w:t>5.4. Нарушение Поставщиком требований к маркировке Товаров, несоответствие информации на упаковке и этикетках Товаров действительности, а также наличии повреждений маркировки/этикеток/упаковки Товара, которое привело к потере товарного вида, является существенным недостатком Товаров. Покупатель вправе отказаться от приемки партии/части партии Товара, поставленного с нарушением вышеуказанных требований. В случае обнаружения указанных недостатков после приемки Товара, данные нарушения расцениваются Покупателем как выявление скрытых недостатков.</w:t>
      </w:r>
    </w:p>
    <w:p>
      <w:pPr>
        <w:pStyle w:val="Style26"/>
        <w:widowControl/>
        <w:suppressAutoHyphens w:val="true"/>
        <w:overflowPunct w:val="false"/>
        <w:bidi w:val="0"/>
        <w:spacing w:before="0" w:after="0"/>
        <w:ind w:left="0" w:right="57" w:firstLine="567"/>
        <w:jc w:val="both"/>
        <w:textAlignment w:val="auto"/>
        <w:rPr>
          <w:sz w:val="24"/>
          <w:szCs w:val="24"/>
        </w:rPr>
      </w:pPr>
      <w:r>
        <w:rPr>
          <w:rFonts w:cs="Arial"/>
          <w:sz w:val="24"/>
          <w:szCs w:val="24"/>
          <w:lang w:val="x-none"/>
        </w:rPr>
        <w:t xml:space="preserve">5.5. </w:t>
      </w:r>
      <w:r>
        <w:rPr>
          <w:rFonts w:cs="Arial"/>
          <w:sz w:val="24"/>
          <w:szCs w:val="24"/>
        </w:rPr>
        <w:t>Товар в адрес Покупателя должен поставляться на паллетах евро-стандарта.</w:t>
      </w:r>
    </w:p>
    <w:p>
      <w:pPr>
        <w:pStyle w:val="Style26"/>
        <w:widowControl/>
        <w:suppressAutoHyphens w:val="true"/>
        <w:overflowPunct w:val="false"/>
        <w:bidi w:val="0"/>
        <w:spacing w:before="0" w:after="0"/>
        <w:ind w:left="0" w:right="57" w:firstLine="567"/>
        <w:jc w:val="both"/>
        <w:textAlignment w:val="auto"/>
        <w:rPr>
          <w:rFonts w:cs="Arial"/>
        </w:rPr>
      </w:pPr>
      <w:r>
        <w:rPr>
          <w:rFonts w:cs="Arial"/>
          <w:sz w:val="24"/>
          <w:szCs w:val="24"/>
        </w:rPr>
        <w:t>Высота одного паллета не должна превышать 1850 мм., включая защиту углов и пять стяжек, товары на паллетах оборачиваются в пленку, товар не должен выступать за края паллета, верхняя упаковка товаров должна быть из прочного картона, позволяющего перевозить и хранить товары на паллетах, упаковка должна обеспечивать как минимум три перегрузки товара. К приемке принимаются только целые, не разваленные паллеты. Если паллет имеет признак «заваленности» - смята упаковка, наклон в сторону более 5 градусов, то Покупатель вправе отказаться от приемки такого паллета.</w:t>
      </w:r>
    </w:p>
    <w:p>
      <w:pPr>
        <w:pStyle w:val="Style26"/>
        <w:widowControl/>
        <w:suppressAutoHyphens w:val="true"/>
        <w:overflowPunct w:val="false"/>
        <w:bidi w:val="0"/>
        <w:spacing w:before="0" w:after="0"/>
        <w:ind w:left="0" w:right="57" w:firstLine="567"/>
        <w:jc w:val="both"/>
        <w:textAlignment w:val="auto"/>
        <w:rPr>
          <w:rFonts w:cs="Arial"/>
        </w:rPr>
      </w:pPr>
      <w:r>
        <w:rPr>
          <w:rFonts w:cs="Arial"/>
          <w:sz w:val="24"/>
          <w:szCs w:val="24"/>
        </w:rPr>
        <w:t>5.6. Если заказ размещен кратный паллету, товар на одном монопаллете должен соответствовать следующим стандартам:</w:t>
      </w:r>
    </w:p>
    <w:p>
      <w:pPr>
        <w:pStyle w:val="Style26"/>
        <w:ind w:firstLine="540"/>
        <w:jc w:val="both"/>
        <w:rPr>
          <w:rFonts w:cs="Arial"/>
        </w:rPr>
      </w:pPr>
      <w:r>
        <w:rPr>
          <w:rFonts w:cs="Arial"/>
          <w:sz w:val="24"/>
          <w:szCs w:val="24"/>
        </w:rPr>
        <w:t>- одно наименование товара на паллете;</w:t>
      </w:r>
    </w:p>
    <w:p>
      <w:pPr>
        <w:pStyle w:val="Style26"/>
        <w:ind w:firstLine="540"/>
        <w:jc w:val="both"/>
        <w:rPr>
          <w:rFonts w:cs="Arial"/>
        </w:rPr>
      </w:pPr>
      <w:r>
        <w:rPr>
          <w:rFonts w:cs="Arial"/>
          <w:sz w:val="24"/>
          <w:szCs w:val="24"/>
        </w:rPr>
        <w:t>- одна дата изготовления товара на паллете.</w:t>
      </w:r>
    </w:p>
    <w:p>
      <w:pPr>
        <w:pStyle w:val="Style26"/>
        <w:widowControl/>
        <w:suppressAutoHyphens w:val="true"/>
        <w:overflowPunct w:val="false"/>
        <w:bidi w:val="0"/>
        <w:spacing w:before="0" w:after="0"/>
        <w:ind w:left="0" w:right="57" w:firstLine="567"/>
        <w:jc w:val="both"/>
        <w:textAlignment w:val="auto"/>
        <w:rPr>
          <w:sz w:val="24"/>
          <w:szCs w:val="24"/>
        </w:rPr>
      </w:pPr>
      <w:r>
        <w:rPr>
          <w:rFonts w:cs="Arial"/>
          <w:sz w:val="24"/>
          <w:szCs w:val="24"/>
        </w:rPr>
        <w:t xml:space="preserve">Запрещается формировать паллет товаром с различными сроками изготовления. В случае несоблюдения данного условия Покупатель вправе по своему усмотрению либо отказаться от приёмки такого товара без применения к нему каких-либо штрафных санкций со стороны Поставщика, либо принять такой товар и предъявить Поставщику </w:t>
      </w:r>
      <w:r>
        <w:rPr>
          <w:rFonts w:cs="Calibri"/>
          <w:color w:val="000000"/>
          <w:sz w:val="24"/>
          <w:szCs w:val="24"/>
        </w:rPr>
        <w:t xml:space="preserve">штраф, в размере количества паллет (с различными сроками изготовления), умноженное на стоимость затрат по разбору и комплектации одного паллета. Стоимость затрат по разбору и комплектации одного паллета составляет 583 (Пятьсот восемьдесят три) рубля 00 копеек. </w:t>
      </w:r>
    </w:p>
    <w:p>
      <w:pPr>
        <w:pStyle w:val="Style26"/>
        <w:widowControl/>
        <w:suppressAutoHyphens w:val="true"/>
        <w:overflowPunct w:val="false"/>
        <w:bidi w:val="0"/>
        <w:spacing w:before="0" w:after="0"/>
        <w:ind w:left="0" w:right="57" w:firstLine="567"/>
        <w:jc w:val="both"/>
        <w:textAlignment w:val="auto"/>
        <w:rPr>
          <w:sz w:val="24"/>
          <w:szCs w:val="24"/>
        </w:rPr>
      </w:pPr>
      <w:r>
        <w:rPr>
          <w:rFonts w:cs="Calibri"/>
          <w:b w:val="false"/>
          <w:bCs w:val="false"/>
          <w:color w:val="000000"/>
          <w:sz w:val="24"/>
          <w:szCs w:val="24"/>
        </w:rPr>
        <w:t xml:space="preserve">5.7. </w:t>
      </w:r>
      <w:r>
        <w:rPr>
          <w:rFonts w:cs="Calibri"/>
          <w:color w:val="000000"/>
          <w:sz w:val="24"/>
          <w:szCs w:val="24"/>
        </w:rPr>
        <w:t xml:space="preserve">Заказ может быть размещен на миксованных паллетах, при этом товар на одном паллете может содержать не более 4 наименований, уложенных вертикальными столбцами. В случае не соблюдения </w:t>
      </w:r>
      <w:r>
        <w:rPr>
          <w:rFonts w:cs="Arial"/>
          <w:sz w:val="24"/>
          <w:szCs w:val="24"/>
        </w:rPr>
        <w:t>данного условия Покупатель вправе по своему усмотрению отказаться от приёмки такого товара без применения к нему каких-либо штрафных санкций со стороны Поставщика.</w:t>
      </w:r>
    </w:p>
    <w:p>
      <w:pPr>
        <w:pStyle w:val="Normal"/>
        <w:widowControl/>
        <w:suppressAutoHyphens w:val="true"/>
        <w:overflowPunct w:val="true"/>
        <w:bidi w:val="0"/>
        <w:spacing w:before="0" w:after="0"/>
        <w:ind w:left="0" w:right="57" w:firstLine="567"/>
        <w:jc w:val="both"/>
        <w:textAlignment w:val="baseline"/>
        <w:rPr>
          <w:sz w:val="24"/>
          <w:szCs w:val="24"/>
        </w:rPr>
      </w:pPr>
      <w:r>
        <w:rPr>
          <w:rFonts w:cs="Arial"/>
          <w:b w:val="false"/>
          <w:bCs w:val="false"/>
          <w:sz w:val="24"/>
          <w:szCs w:val="24"/>
          <w:lang w:val="x-none"/>
        </w:rPr>
        <w:t xml:space="preserve">5.8. </w:t>
      </w:r>
      <w:r>
        <w:rPr>
          <w:rFonts w:cs="Arial"/>
          <w:sz w:val="24"/>
          <w:szCs w:val="24"/>
          <w:lang w:val="x-none"/>
        </w:rPr>
        <w:t>Для оптимизации транспортных расходов, допускается укладка одного скоплектованного паллета на другой (сендвич), при условии, что при транспортировке товар или упаковка не будут повреждены, при этом на одном паллете должно находиться одно наименование товара с одной датой изготовления товара.</w:t>
      </w:r>
    </w:p>
    <w:p>
      <w:pPr>
        <w:pStyle w:val="Normal"/>
        <w:widowControl w:val="false"/>
        <w:numPr>
          <w:ilvl w:val="0"/>
          <w:numId w:val="0"/>
        </w:numPr>
        <w:tabs>
          <w:tab w:val="clear" w:pos="708"/>
          <w:tab w:val="left" w:pos="993" w:leader="none"/>
        </w:tabs>
        <w:suppressAutoHyphens w:val="false"/>
        <w:ind w:left="0" w:hanging="0"/>
        <w:jc w:val="both"/>
        <w:rPr>
          <w:sz w:val="24"/>
          <w:szCs w:val="24"/>
          <w:lang w:val="x-none"/>
        </w:rPr>
      </w:pPr>
      <w:r>
        <w:rPr>
          <w:sz w:val="24"/>
          <w:szCs w:val="24"/>
          <w:lang w:val="x-none"/>
        </w:rPr>
      </w:r>
    </w:p>
    <w:p>
      <w:pPr>
        <w:pStyle w:val="Normal"/>
        <w:ind w:firstLine="540"/>
        <w:jc w:val="center"/>
        <w:rPr>
          <w:b/>
          <w:b/>
          <w:lang w:val="ru-RU"/>
        </w:rPr>
      </w:pPr>
      <w:r>
        <w:rPr>
          <w:b/>
          <w:sz w:val="24"/>
          <w:szCs w:val="24"/>
          <w:lang w:val="ru-RU"/>
        </w:rPr>
        <w:t>6 ПОРЯДОК И СРОКИ РАСЧЕТОВ</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6.1. Оплата за Товар осуществляется перечислением денежных средств на расчетный счет Поставщика.</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6.2. Отсрочка оплаты за поставленный Поставщиком Товар по настоящему договору составляет 40 (сорок) календарных дней.</w:t>
      </w:r>
    </w:p>
    <w:p>
      <w:pPr>
        <w:pStyle w:val="Normal"/>
        <w:ind w:firstLine="540"/>
        <w:jc w:val="both"/>
        <w:rPr>
          <w:b/>
          <w:b/>
          <w:sz w:val="24"/>
          <w:szCs w:val="24"/>
          <w:lang w:val="ru-RU"/>
        </w:rPr>
      </w:pPr>
      <w:r>
        <w:rPr>
          <w:b/>
          <w:sz w:val="24"/>
          <w:szCs w:val="24"/>
          <w:lang w:val="ru-RU"/>
        </w:rPr>
      </w:r>
    </w:p>
    <w:p>
      <w:pPr>
        <w:pStyle w:val="Normal"/>
        <w:ind w:firstLine="540"/>
        <w:jc w:val="center"/>
        <w:rPr>
          <w:b/>
          <w:b/>
          <w:lang w:val="ru-RU"/>
        </w:rPr>
      </w:pPr>
      <w:r>
        <w:rPr>
          <w:b/>
          <w:sz w:val="24"/>
          <w:szCs w:val="24"/>
          <w:lang w:val="ru-RU"/>
        </w:rPr>
        <w:t xml:space="preserve">7. ОТВЕТСТВЕННОСТЬ СТОРОН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7.1. За нарушение условий настоящего договора стороны несут ответственность в соответст</w:t>
      </w:r>
      <w:bookmarkStart w:id="0" w:name="_GoBack"/>
      <w:bookmarkEnd w:id="0"/>
      <w:r>
        <w:rPr>
          <w:sz w:val="24"/>
          <w:szCs w:val="24"/>
          <w:lang w:val="ru-RU"/>
        </w:rPr>
        <w:t xml:space="preserve">вии с законодательством РФ.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7.2. За нарушение сроков поставки Товара Покупатель вправе предъявить Поставщику оплату неустойки в размере 10% от стоимости не поставленного в срок товара за каждый день просрочки.</w:t>
      </w:r>
    </w:p>
    <w:p>
      <w:pPr>
        <w:pStyle w:val="Normal"/>
        <w:widowControl/>
        <w:suppressAutoHyphens w:val="true"/>
        <w:overflowPunct w:val="true"/>
        <w:bidi w:val="0"/>
        <w:spacing w:before="0" w:after="0"/>
        <w:ind w:left="0" w:right="57" w:firstLine="567"/>
        <w:textAlignment w:val="baseline"/>
        <w:rPr>
          <w:lang w:val="ru-RU"/>
        </w:rPr>
      </w:pPr>
      <w:r>
        <w:rPr>
          <w:sz w:val="24"/>
          <w:szCs w:val="24"/>
          <w:lang w:val="ru-RU"/>
        </w:rPr>
        <w:t>7.3. За поставку или частичную поставку Товара, не соответствующего условиям настоящего договора, за отсутствие (несоответствие) сопроводительных документов, указанных в п. 3.2. настоящего договора, Поставщик уплачивает штраф в размере 10% от стоимости такого Товара.</w:t>
      </w:r>
    </w:p>
    <w:p>
      <w:pPr>
        <w:pStyle w:val="Normal"/>
        <w:widowControl/>
        <w:suppressAutoHyphens w:val="true"/>
        <w:overflowPunct w:val="true"/>
        <w:bidi w:val="0"/>
        <w:spacing w:lineRule="atLeast" w:line="0" w:before="0" w:after="0"/>
        <w:ind w:left="0" w:right="57" w:firstLine="567"/>
        <w:jc w:val="both"/>
        <w:textAlignment w:val="baseline"/>
        <w:rPr>
          <w:lang w:val="ru-RU"/>
        </w:rPr>
      </w:pPr>
      <w:r>
        <w:rPr>
          <w:sz w:val="24"/>
          <w:szCs w:val="24"/>
          <w:lang w:val="ru-RU"/>
        </w:rPr>
        <w:t>7.4. В случае если соответствующими органами, уполномоченными производить проверку качества Товара, с Покупателя будет взыскан штраф за несоответствие Товара, полученного от Поставщика, установленным стандартам и сертификатам, и/или Товар будет снят с реализации по указанным выше причинам, Поставщик обязан возместить сумму оговоренного выше штрафа в течение 5 (пяти) банковских дней с момента получения уведомления от Покупателя.</w:t>
      </w:r>
    </w:p>
    <w:p>
      <w:pPr>
        <w:pStyle w:val="Normal"/>
        <w:widowControl/>
        <w:suppressAutoHyphens w:val="true"/>
        <w:overflowPunct w:val="true"/>
        <w:bidi w:val="0"/>
        <w:spacing w:lineRule="atLeast" w:line="0" w:before="0" w:after="0"/>
        <w:ind w:left="0" w:right="57" w:firstLine="567"/>
        <w:jc w:val="both"/>
        <w:textAlignment w:val="baseline"/>
        <w:rPr>
          <w:lang w:val="ru-RU"/>
        </w:rPr>
      </w:pPr>
      <w:r>
        <w:rPr>
          <w:sz w:val="24"/>
          <w:szCs w:val="24"/>
          <w:lang w:val="ru-RU"/>
        </w:rPr>
        <w:t>7.5. За нарушение сроков оплаты Товара Поставщик вправе предъявить Покупателю оплату неустойки в размере 0,1% от стоимости не оплаченного в срок товара за каждый день просрочки.</w:t>
      </w:r>
    </w:p>
    <w:p>
      <w:pPr>
        <w:pStyle w:val="Style20"/>
        <w:widowControl/>
        <w:suppressAutoHyphens w:val="true"/>
        <w:overflowPunct w:val="true"/>
        <w:bidi w:val="0"/>
        <w:spacing w:lineRule="atLeast" w:line="0" w:before="0" w:after="120"/>
        <w:ind w:left="0" w:right="57" w:firstLine="567"/>
        <w:jc w:val="both"/>
        <w:textAlignment w:val="baseline"/>
        <w:rPr>
          <w:lang w:val="ru-RU"/>
        </w:rPr>
      </w:pPr>
      <w:r>
        <w:rPr>
          <w:sz w:val="24"/>
          <w:szCs w:val="24"/>
          <w:lang w:val="ru-RU"/>
        </w:rPr>
        <w:t>7.6. В случае применения к Покупателю штрафных санкций со стороны какой-либо торговой сети за невыполнение/не своевременное выполнение/недопоставку Товара/предоставление недостоверной информации о товаре, либо предоставление информации не в полном объеме, либо поставки Товара не соответствующего предоставленной информации, поставки Товара с нарушением требований, предъявляемым к упаковке и маркировке), в связи с тем, что Поставщик не выполнил взятые на себя обязательства по настоящему договору, Поставщик обязан компенсировать выставленные Покупателю штрафы в полном объёме на основании предъявленной Покупателем претензии от торговой сети (не более суммы штрафа выставленного в адрес Покупателя). Достаточным основанием компенсации Поставщиком Покупателю штрафных санкций Стороны признают надлежащим образом оформленную претензию от торговой сети. Компенсация штрафных санкций должна быть произведена Поставщиком в течение 7 (семи) календарных дней с даты предъявления Покупателем претензии от торговой сети.</w:t>
      </w:r>
    </w:p>
    <w:p>
      <w:pPr>
        <w:pStyle w:val="Normal"/>
        <w:ind w:firstLine="540"/>
        <w:jc w:val="center"/>
        <w:rPr>
          <w:b/>
          <w:b/>
          <w:sz w:val="24"/>
          <w:szCs w:val="24"/>
          <w:lang w:val="ru-RU"/>
        </w:rPr>
      </w:pPr>
      <w:r>
        <w:rPr>
          <w:b/>
          <w:sz w:val="24"/>
          <w:szCs w:val="24"/>
          <w:lang w:val="ru-RU"/>
        </w:rPr>
      </w:r>
    </w:p>
    <w:p>
      <w:pPr>
        <w:pStyle w:val="Normal"/>
        <w:ind w:firstLine="540"/>
        <w:jc w:val="center"/>
        <w:rPr>
          <w:b/>
          <w:b/>
          <w:lang w:val="ru-RU"/>
        </w:rPr>
      </w:pPr>
      <w:r>
        <w:rPr>
          <w:b/>
          <w:sz w:val="24"/>
          <w:szCs w:val="24"/>
          <w:lang w:val="ru-RU"/>
        </w:rPr>
        <w:t>8. ФОРС-МАЖОР</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8.1. Под форс-мажором Стороны понимают обстоятельства непреодолимой силы, определяемые как таковые в соответствии с п. 3 ст. 401 ГК РФ.</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 xml:space="preserve">8.2. Стороны освобождаются от ответственности за частичное или полное неисполнение обязательств по настоящему договору, если такое неисполнение является следствием обстоятельств непреодолимой силы  (форс-мажора), а именно: наводнения, землетрясения и других стихийных природных явлений, военных и других боевых, террористических действий, действия органов государственной власти и управления, если эти обстоятельства непосредственно повлияли на исполнение настоящего договора. При этом срок исполнения обязательств откладывается на период действия обстоятельств непреодолимой силы.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8.3. Сторона, ссылающаяся на форс-мажорные обстоятельства, обязана в двухдневный срок письменно известить другую сторону о начале и окончании обстоятельств форс-мажора, препятствующих выполнению обязательств по настоящему договору и предоставить для их подтверждения документ, выданный компетентным органом.</w:t>
      </w:r>
    </w:p>
    <w:p>
      <w:pPr>
        <w:pStyle w:val="Normal"/>
        <w:ind w:firstLine="540"/>
        <w:jc w:val="both"/>
        <w:rPr>
          <w:sz w:val="24"/>
          <w:szCs w:val="24"/>
          <w:lang w:val="ru-RU"/>
        </w:rPr>
      </w:pPr>
      <w:r>
        <w:rPr>
          <w:sz w:val="24"/>
          <w:szCs w:val="24"/>
          <w:lang w:val="ru-RU"/>
        </w:rPr>
      </w:r>
    </w:p>
    <w:p>
      <w:pPr>
        <w:pStyle w:val="Normal"/>
        <w:ind w:firstLine="540"/>
        <w:jc w:val="center"/>
        <w:rPr>
          <w:b/>
          <w:b/>
          <w:lang w:val="ru-RU"/>
        </w:rPr>
      </w:pPr>
      <w:r>
        <w:rPr>
          <w:b/>
          <w:sz w:val="24"/>
          <w:szCs w:val="24"/>
          <w:lang w:val="ru-RU"/>
        </w:rPr>
        <w:t>9. РАЗРЕШЕНИЕ СПОРОВ</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9.1. Все споры по настоящему договору решаются путем переговоров.</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9.2. При недостижении согласия споры решаются в Арбитражном суде по месту нахождения Истца.</w:t>
      </w:r>
    </w:p>
    <w:p>
      <w:pPr>
        <w:pStyle w:val="Normal"/>
        <w:ind w:firstLine="540"/>
        <w:jc w:val="both"/>
        <w:rPr>
          <w:sz w:val="24"/>
          <w:szCs w:val="24"/>
          <w:lang w:val="ru-RU"/>
        </w:rPr>
      </w:pPr>
      <w:r>
        <w:rPr>
          <w:sz w:val="24"/>
          <w:szCs w:val="24"/>
          <w:lang w:val="ru-RU"/>
        </w:rPr>
      </w:r>
    </w:p>
    <w:p>
      <w:pPr>
        <w:pStyle w:val="Normal"/>
        <w:ind w:firstLine="540"/>
        <w:jc w:val="center"/>
        <w:rPr>
          <w:b/>
          <w:b/>
          <w:lang w:val="ru-RU"/>
        </w:rPr>
      </w:pPr>
      <w:r>
        <w:rPr>
          <w:b/>
          <w:sz w:val="24"/>
          <w:szCs w:val="24"/>
          <w:lang w:val="ru-RU"/>
        </w:rPr>
        <w:t>10. ДОПОЛНИТЕЛЬНЫЕ ПОЛОЖЕНИЯ</w:t>
      </w:r>
    </w:p>
    <w:p>
      <w:pPr>
        <w:pStyle w:val="Normal"/>
        <w:widowControl/>
        <w:suppressAutoHyphens w:val="true"/>
        <w:bidi w:val="0"/>
        <w:spacing w:before="0" w:after="0"/>
        <w:ind w:left="0" w:right="57" w:firstLine="567"/>
        <w:jc w:val="both"/>
        <w:rPr>
          <w:lang w:val="ru-RU"/>
        </w:rPr>
      </w:pPr>
      <w:r>
        <w:rPr>
          <w:sz w:val="24"/>
          <w:szCs w:val="24"/>
          <w:lang w:val="ru-RU"/>
        </w:rPr>
        <w:t>10.1. Срок действия договора с момента подписания сторонами по 31 декабря  20___ г.</w:t>
      </w:r>
    </w:p>
    <w:p>
      <w:pPr>
        <w:pStyle w:val="Normal"/>
        <w:widowControl/>
        <w:tabs>
          <w:tab w:val="clear" w:pos="708"/>
          <w:tab w:val="left" w:pos="1080" w:leader="none"/>
          <w:tab w:val="left" w:pos="7060" w:leader="none"/>
        </w:tabs>
        <w:suppressAutoHyphens w:val="true"/>
        <w:overflowPunct w:val="false"/>
        <w:bidi w:val="0"/>
        <w:spacing w:before="0" w:after="0"/>
        <w:ind w:left="0" w:right="57" w:firstLine="567"/>
        <w:jc w:val="both"/>
        <w:textAlignment w:val="auto"/>
        <w:rPr>
          <w:lang w:val="ru-RU"/>
        </w:rPr>
      </w:pPr>
      <w:r>
        <w:rPr>
          <w:sz w:val="24"/>
          <w:szCs w:val="24"/>
          <w:lang w:val="ru-RU"/>
        </w:rPr>
        <w:t>10.2. Настоящий договор может быть расторгнут в любой момент по инициативе любой из сторон, при условии направления другой стороне письменного уведомления о намерении расторгнуть договор за 30 (тридцать) календарных дней до предполагаемой даты расторжения договора.</w:t>
      </w:r>
    </w:p>
    <w:p>
      <w:pPr>
        <w:pStyle w:val="Normal"/>
        <w:widowControl/>
        <w:tabs>
          <w:tab w:val="clear" w:pos="708"/>
          <w:tab w:val="left" w:pos="1080" w:leader="none"/>
          <w:tab w:val="left" w:pos="7060" w:leader="none"/>
        </w:tabs>
        <w:suppressAutoHyphens w:val="true"/>
        <w:overflowPunct w:val="false"/>
        <w:bidi w:val="0"/>
        <w:spacing w:before="0" w:after="0"/>
        <w:ind w:left="0" w:right="57" w:firstLine="567"/>
        <w:jc w:val="both"/>
        <w:textAlignment w:val="auto"/>
        <w:rPr>
          <w:lang w:val="ru-RU"/>
        </w:rPr>
      </w:pPr>
      <w:r>
        <w:rPr>
          <w:sz w:val="24"/>
          <w:szCs w:val="24"/>
          <w:lang w:val="ru-RU"/>
        </w:rPr>
        <w:t>10.3. Если ни одна из сторон за месяц до истечения срока договора письменно не уведомит другую сторону о намерении прекратить договор или продолжить его на других условиях, договор считается пролонгированным на 12 месяцев на тех же условиях с дальнейшей пролонгацией в том же порядке.</w:t>
      </w:r>
    </w:p>
    <w:p>
      <w:pPr>
        <w:pStyle w:val="Normal"/>
        <w:widowControl/>
        <w:tabs>
          <w:tab w:val="clear" w:pos="708"/>
          <w:tab w:val="left" w:pos="1080" w:leader="none"/>
          <w:tab w:val="left" w:pos="7060" w:leader="none"/>
        </w:tabs>
        <w:suppressAutoHyphens w:val="true"/>
        <w:overflowPunct w:val="false"/>
        <w:bidi w:val="0"/>
        <w:spacing w:before="0" w:after="0"/>
        <w:ind w:left="0" w:right="57" w:firstLine="567"/>
        <w:jc w:val="both"/>
        <w:textAlignment w:val="auto"/>
        <w:rPr>
          <w:lang w:val="ru-RU"/>
        </w:rPr>
      </w:pPr>
      <w:r>
        <w:rPr>
          <w:sz w:val="24"/>
          <w:szCs w:val="24"/>
          <w:lang w:val="ru-RU"/>
        </w:rPr>
        <w:t>10.4. Все изменения и дополнения настоящего договора действительны лишь в том случае, если они оформлены в письменной форме и подписаны уполномоченными представителями сторон.</w:t>
      </w:r>
    </w:p>
    <w:p>
      <w:pPr>
        <w:pStyle w:val="Normal"/>
        <w:widowControl/>
        <w:tabs>
          <w:tab w:val="clear" w:pos="708"/>
          <w:tab w:val="left" w:pos="1080" w:leader="none"/>
          <w:tab w:val="left" w:pos="7060" w:leader="none"/>
        </w:tabs>
        <w:suppressAutoHyphens w:val="true"/>
        <w:overflowPunct w:val="false"/>
        <w:bidi w:val="0"/>
        <w:spacing w:before="0" w:after="0"/>
        <w:ind w:left="0" w:right="57" w:firstLine="567"/>
        <w:jc w:val="both"/>
        <w:textAlignment w:val="auto"/>
        <w:rPr>
          <w:lang w:val="ru-RU"/>
        </w:rPr>
      </w:pPr>
      <w:r>
        <w:rPr>
          <w:sz w:val="24"/>
          <w:szCs w:val="24"/>
          <w:lang w:val="ru-RU"/>
        </w:rPr>
        <w:t>10.5. Стороны признают, что документы, переданные посредством факсимильной связи, имеют юридическую силу при условии предоставления оригиналов в течение 30 дней с момента их подписания.</w:t>
      </w:r>
    </w:p>
    <w:p>
      <w:pPr>
        <w:pStyle w:val="Normal"/>
        <w:widowControl/>
        <w:suppressAutoHyphens w:val="true"/>
        <w:bidi w:val="0"/>
        <w:spacing w:before="0" w:after="0"/>
        <w:ind w:left="0" w:right="57" w:firstLine="567"/>
        <w:jc w:val="both"/>
        <w:rPr>
          <w:lang w:val="ru-RU"/>
        </w:rPr>
      </w:pPr>
      <w:r>
        <w:rPr>
          <w:sz w:val="24"/>
          <w:szCs w:val="24"/>
          <w:lang w:val="ru-RU"/>
        </w:rPr>
        <w:t>10.6. Договор составлен в 2-х экземплярах, каждый из которых имеет юридическую силу.</w:t>
      </w:r>
    </w:p>
    <w:p>
      <w:pPr>
        <w:pStyle w:val="Normal"/>
        <w:widowControl/>
        <w:suppressAutoHyphens w:val="true"/>
        <w:bidi w:val="0"/>
        <w:spacing w:before="0" w:after="0"/>
        <w:ind w:left="0" w:right="57" w:firstLine="567"/>
        <w:jc w:val="both"/>
        <w:rPr>
          <w:lang w:val="ru-RU"/>
        </w:rPr>
      </w:pPr>
      <w:r>
        <w:rPr>
          <w:sz w:val="24"/>
          <w:szCs w:val="24"/>
          <w:lang w:val="ru-RU"/>
        </w:rPr>
        <w:t>10.7. Стороны обязуются ежеквартально подписывать Акт сверки взаиморасчетов. Поставщик обязуется в течение 10 календарных дней по окончании квартала направить Покупателю акт сверки. Покупатель, получив Акт сверки от Поставщика, обязуется в течение 10 банковских дней рассмотреть и подписать его, либо направить Поставщику письменные возражения с предоставлением копий соответствующих документов.</w:t>
      </w:r>
    </w:p>
    <w:p>
      <w:pPr>
        <w:pStyle w:val="Normal"/>
        <w:widowControl/>
        <w:suppressAutoHyphens w:val="true"/>
        <w:bidi w:val="0"/>
        <w:spacing w:before="0" w:after="0"/>
        <w:ind w:left="0" w:right="57" w:firstLine="567"/>
        <w:jc w:val="both"/>
        <w:rPr>
          <w:lang w:val="ru-RU"/>
        </w:rPr>
      </w:pPr>
      <w:r>
        <w:rPr>
          <w:sz w:val="24"/>
          <w:szCs w:val="24"/>
          <w:lang w:val="ru-RU"/>
        </w:rPr>
        <w:t xml:space="preserve">10.8. В случае изменения организационно-правовой формы, адреса, банковских или иных реквизитов, стороны незамедлительно извещают друг друга о возникших изменениях. </w:t>
      </w:r>
    </w:p>
    <w:p>
      <w:pPr>
        <w:pStyle w:val="Normal"/>
        <w:widowControl/>
        <w:suppressAutoHyphens w:val="true"/>
        <w:bidi w:val="0"/>
        <w:spacing w:before="0" w:after="0"/>
        <w:ind w:left="0" w:right="57" w:firstLine="567"/>
        <w:jc w:val="both"/>
        <w:rPr>
          <w:lang w:val="ru-RU"/>
        </w:rPr>
      </w:pPr>
      <w:r>
        <w:rPr>
          <w:sz w:val="24"/>
          <w:szCs w:val="24"/>
          <w:lang w:val="ru-RU"/>
        </w:rPr>
        <w:t>10.9. В соответствии с положениями ст. 6 Закона № 152-ФЗ от «27» Июля 2006 г. «О персональных данных» допускается обработка Покупателем персональных данных Поставщика в целях исполнения настоящего Договора. Поставщик, заключая настоящий Договор, даёт согласие Покупателю на передачу персональных данных третьим лицам в целях исполнения настоящего Договора с соблюдением конфиденциальности и обеспечением их безопасности при обработке.</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 xml:space="preserve">10.10. Поставщик обязан по требованию Покупателя в течение 3 (трех) календарных дней предоставить последнему заверенную копию доверенности на лиц, имеющих право подписи счетов-фактур, накладных и (или) универсальных передаточных документов (УПД), декларацию по НДС, платежные поручения по перечислению НДС, выписку из книги продаж и иную бухгалтерскую отчетность (формы № 1, 2) в части продаж в адрес ООО «Атмосфера вкуса» в рамках настоящего договора. При этом требование передается Покупателем посредством телефонной и/или факсимильной связи и/или электронной почты.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 xml:space="preserve">10.11. Поставщик обязуется возместить Покупателю суммы доначислений по налоговой проверке, возникших из-за нарушения Поставщиком указанных в договоре гарантий и обязательств (в том числе, установленных п. 10.12. настоящего Договора). Основанием для возмещения Поставщиком Покупателю указанных сумм является решение налоговой инспекции по результатам камеральной или выездной проверки. При этом возмещению подлежат все суммы, уплаченные Покупателем в бюджет на основании решений налогового органа по результатам проверки, включая недоимку, пени и штрафы. </w:t>
      </w:r>
    </w:p>
    <w:p>
      <w:pPr>
        <w:pStyle w:val="Normal"/>
        <w:widowControl/>
        <w:suppressAutoHyphens w:val="true"/>
        <w:overflowPunct w:val="true"/>
        <w:bidi w:val="0"/>
        <w:spacing w:before="0" w:after="0"/>
        <w:ind w:left="0" w:right="57" w:firstLine="567"/>
        <w:jc w:val="both"/>
        <w:textAlignment w:val="baseline"/>
        <w:rPr>
          <w:lang w:val="ru-RU"/>
        </w:rPr>
      </w:pPr>
      <w:r>
        <w:rPr>
          <w:sz w:val="24"/>
          <w:szCs w:val="24"/>
          <w:lang w:val="ru-RU"/>
        </w:rPr>
        <w:t xml:space="preserve">10.12. Поставщик заверяет и гарантирует следующее: </w:t>
      </w:r>
    </w:p>
    <w:p>
      <w:pPr>
        <w:pStyle w:val="Normal"/>
        <w:widowControl/>
        <w:numPr>
          <w:ilvl w:val="0"/>
          <w:numId w:val="2"/>
        </w:numPr>
        <w:suppressAutoHyphens w:val="true"/>
        <w:overflowPunct w:val="true"/>
        <w:bidi w:val="0"/>
        <w:spacing w:before="0" w:after="0"/>
        <w:ind w:left="0" w:right="0" w:firstLine="624"/>
        <w:jc w:val="both"/>
        <w:textAlignment w:val="baseline"/>
        <w:rPr>
          <w:sz w:val="24"/>
          <w:szCs w:val="24"/>
        </w:rPr>
      </w:pPr>
      <w:r>
        <w:rPr>
          <w:sz w:val="24"/>
          <w:szCs w:val="24"/>
          <w:lang w:val="ru-RU"/>
        </w:rPr>
        <w:t xml:space="preserve">Поставщик является надлежащим образом зарегистрированной организацией, </w:t>
      </w:r>
      <w:r>
        <w:rPr>
          <w:b w:val="false"/>
          <w:i w:val="false"/>
          <w:iCs w:val="false"/>
          <w:caps w:val="false"/>
          <w:smallCaps w:val="false"/>
          <w:color w:val="000000"/>
          <w:spacing w:val="0"/>
          <w:sz w:val="24"/>
          <w:szCs w:val="24"/>
          <w:lang w:val="ru-RU" w:eastAsia="ru-RU" w:bidi="ar-SA"/>
        </w:rPr>
        <w:t>уплачивает все обязательные налоги и сборы, ведет бухгалтерский и налоговый учет, а также своевременно подает в налоговые и иные государственные органы отчетность;</w:t>
      </w:r>
    </w:p>
    <w:p>
      <w:pPr>
        <w:pStyle w:val="Normal"/>
        <w:widowControl/>
        <w:numPr>
          <w:ilvl w:val="0"/>
          <w:numId w:val="2"/>
        </w:numPr>
        <w:suppressAutoHyphens w:val="true"/>
        <w:overflowPunct w:val="true"/>
        <w:bidi w:val="0"/>
        <w:spacing w:before="0" w:after="0"/>
        <w:ind w:left="0" w:right="57" w:firstLine="567"/>
        <w:jc w:val="both"/>
        <w:textAlignment w:val="baseline"/>
        <w:rPr>
          <w:lang w:val="ru-RU"/>
        </w:rPr>
      </w:pPr>
      <w:r>
        <w:rPr>
          <w:sz w:val="24"/>
          <w:szCs w:val="24"/>
          <w:lang w:val="ru-RU"/>
        </w:rPr>
        <w:t xml:space="preserve">Все сведения о Поставщике в ЕГРЮЛ/ЕГРИП достоверны на момент подписания договора. В случае если в дальнейшем в ЕГРЮЛ/ЕГРИП появится запись о недостоверности данных о Поставщике, он обязуется в течение месяца внести в ЕГРЮЛ/ЕГРИП достоверные сведения или подтвердить регистрирующему органу, что сведения в ЕГРЮЛ/ЕГРИП достоверны; </w:t>
      </w:r>
    </w:p>
    <w:p>
      <w:pPr>
        <w:pStyle w:val="Normal"/>
        <w:widowControl/>
        <w:numPr>
          <w:ilvl w:val="0"/>
          <w:numId w:val="2"/>
        </w:numPr>
        <w:suppressAutoHyphens w:val="true"/>
        <w:overflowPunct w:val="true"/>
        <w:bidi w:val="0"/>
        <w:spacing w:before="0" w:after="0"/>
        <w:ind w:left="0" w:right="0" w:firstLine="624"/>
        <w:jc w:val="both"/>
        <w:textAlignment w:val="baseline"/>
        <w:rPr>
          <w:lang w:val="ru-RU"/>
        </w:rPr>
      </w:pPr>
      <w:r>
        <w:rPr>
          <w:sz w:val="24"/>
          <w:szCs w:val="24"/>
          <w:lang w:val="ru-RU"/>
        </w:rPr>
        <w:t xml:space="preserve">Поставщик располагает необходимыми ресурсами для исполнения настоящего Договора; </w:t>
      </w:r>
    </w:p>
    <w:p>
      <w:pPr>
        <w:pStyle w:val="Normal"/>
        <w:widowControl/>
        <w:numPr>
          <w:ilvl w:val="0"/>
          <w:numId w:val="2"/>
        </w:numPr>
        <w:suppressAutoHyphens w:val="true"/>
        <w:overflowPunct w:val="true"/>
        <w:bidi w:val="0"/>
        <w:spacing w:before="0" w:after="0"/>
        <w:ind w:left="0" w:right="57" w:firstLine="567"/>
        <w:jc w:val="both"/>
        <w:textAlignment w:val="baseline"/>
        <w:rPr>
          <w:lang w:val="ru-RU"/>
        </w:rPr>
      </w:pPr>
      <w:r>
        <w:rPr>
          <w:sz w:val="24"/>
          <w:szCs w:val="24"/>
          <w:lang w:val="ru-RU"/>
        </w:rPr>
        <w:t xml:space="preserve">Поставленные Товары и их распространение не нарушает прав и законных интересов третьих лиц, включая, но не ограничиваясь, правами на товарные знаки и объекты интеллектуальной собственности; </w:t>
      </w:r>
    </w:p>
    <w:p>
      <w:pPr>
        <w:pStyle w:val="Normal"/>
        <w:widowControl/>
        <w:numPr>
          <w:ilvl w:val="0"/>
          <w:numId w:val="2"/>
        </w:numPr>
        <w:suppressAutoHyphens w:val="true"/>
        <w:overflowPunct w:val="true"/>
        <w:bidi w:val="0"/>
        <w:spacing w:before="0" w:after="0"/>
        <w:ind w:left="0" w:right="57" w:firstLine="567"/>
        <w:jc w:val="both"/>
        <w:textAlignment w:val="baseline"/>
        <w:rPr>
          <w:lang w:val="ru-RU"/>
        </w:rPr>
      </w:pPr>
      <w:r>
        <w:rPr>
          <w:sz w:val="24"/>
          <w:szCs w:val="24"/>
          <w:lang w:val="ru-RU"/>
        </w:rPr>
        <w:t>Поставщик отражает все операции по закупке Товаров у своих поставщиков в учете, бухгалтерской и налоговой отчетности;</w:t>
      </w:r>
    </w:p>
    <w:p>
      <w:pPr>
        <w:pStyle w:val="Normal"/>
        <w:widowControl/>
        <w:numPr>
          <w:ilvl w:val="0"/>
          <w:numId w:val="2"/>
        </w:numPr>
        <w:suppressAutoHyphens w:val="true"/>
        <w:overflowPunct w:val="true"/>
        <w:bidi w:val="0"/>
        <w:spacing w:before="0" w:after="0"/>
        <w:ind w:left="0" w:right="57" w:firstLine="567"/>
        <w:jc w:val="both"/>
        <w:textAlignment w:val="baseline"/>
        <w:rPr>
          <w:lang w:val="ru-RU"/>
        </w:rPr>
      </w:pPr>
      <w:r>
        <w:rPr>
          <w:sz w:val="24"/>
          <w:szCs w:val="24"/>
          <w:lang w:val="ru-RU"/>
        </w:rPr>
        <w:t>Поставщик отразит все операции по настоящему Договору, включая полученные от Покупателя авансы и реализацию товаров Покупателю, в учете, бухгалтерской и налоговой отчетности, в том числе отразит НДС, уплаченный Покупателем в составе цены Товара;</w:t>
      </w:r>
    </w:p>
    <w:p>
      <w:pPr>
        <w:pStyle w:val="Normal"/>
        <w:widowControl/>
        <w:numPr>
          <w:ilvl w:val="0"/>
          <w:numId w:val="2"/>
        </w:numPr>
        <w:suppressAutoHyphens w:val="true"/>
        <w:overflowPunct w:val="true"/>
        <w:bidi w:val="0"/>
        <w:spacing w:before="0" w:after="0"/>
        <w:ind w:left="0" w:right="57" w:firstLine="567"/>
        <w:jc w:val="both"/>
        <w:textAlignment w:val="baseline"/>
        <w:rPr>
          <w:lang w:val="ru-RU"/>
        </w:rPr>
      </w:pPr>
      <w:r>
        <w:rPr>
          <w:sz w:val="24"/>
          <w:szCs w:val="24"/>
          <w:lang w:val="ru-RU"/>
        </w:rPr>
        <w:t xml:space="preserve"> </w:t>
      </w:r>
      <w:r>
        <w:rPr>
          <w:sz w:val="24"/>
          <w:szCs w:val="24"/>
          <w:lang w:val="ru-RU"/>
        </w:rPr>
        <w:t xml:space="preserve">В случае получения Поставщиком требования налогового органа о предоставлении документов, относящихся к сделке с Покупателем, Поставщик обязуется исполнить требование в течение 5 (пяти) рабочих дней со дня его получения. </w:t>
      </w:r>
    </w:p>
    <w:p>
      <w:pPr>
        <w:pStyle w:val="Normal"/>
        <w:widowControl/>
        <w:numPr>
          <w:ilvl w:val="0"/>
          <w:numId w:val="2"/>
        </w:numPr>
        <w:suppressAutoHyphens w:val="true"/>
        <w:overflowPunct w:val="true"/>
        <w:bidi w:val="0"/>
        <w:spacing w:before="0" w:after="0"/>
        <w:ind w:left="0" w:right="57" w:firstLine="567"/>
        <w:jc w:val="both"/>
        <w:textAlignment w:val="baseline"/>
        <w:rPr>
          <w:rFonts w:ascii="Times New Roman" w:hAnsi="Times New Roman"/>
          <w:b w:val="false"/>
          <w:b w:val="false"/>
          <w:i w:val="false"/>
          <w:i w:val="false"/>
          <w:iCs w:val="false"/>
          <w:caps w:val="false"/>
          <w:smallCaps w:val="false"/>
          <w:color w:val="000000"/>
          <w:spacing w:val="0"/>
          <w:lang w:val="ru-RU" w:eastAsia="ru-RU" w:bidi="ar-SA"/>
        </w:rPr>
      </w:pPr>
      <w:r>
        <w:rPr>
          <w:b w:val="false"/>
          <w:i w:val="false"/>
          <w:iCs w:val="false"/>
          <w:caps w:val="false"/>
          <w:smallCaps w:val="false"/>
          <w:color w:val="000000"/>
          <w:spacing w:val="0"/>
          <w:sz w:val="24"/>
          <w:szCs w:val="24"/>
          <w:lang w:val="ru-RU" w:eastAsia="ru-RU" w:bidi="ar-SA"/>
        </w:rPr>
        <w:t>Не осуществляет и не будет осуществлять в ходе исполнения настоящего договора уменьшение налоговой базы и (или) суммы подлежащего уплате налога в результате искажения сведений о фактах хозяйственной жизни (совокупности таких фактов), об объектах налогообложения; неотражения дохода (выручки) от реализации товаров, а также отражения в регистрах бухгалтерского и налогового учета заведомо недостоверной информации об объектах налогообложения.</w:t>
      </w:r>
    </w:p>
    <w:p>
      <w:pPr>
        <w:pStyle w:val="Style20"/>
        <w:widowControl/>
        <w:suppressAutoHyphens w:val="true"/>
        <w:overflowPunct w:val="true"/>
        <w:bidi w:val="0"/>
        <w:spacing w:before="0" w:after="0"/>
        <w:ind w:left="0" w:right="57" w:firstLine="567"/>
        <w:jc w:val="both"/>
        <w:textAlignment w:val="baseline"/>
        <w:rPr>
          <w:rFonts w:ascii="Times New Roman" w:hAnsi="Times New Roman"/>
          <w:b w:val="false"/>
          <w:b w:val="false"/>
          <w:i w:val="false"/>
          <w:i w:val="false"/>
          <w:iCs w:val="false"/>
          <w:caps w:val="false"/>
          <w:smallCaps w:val="false"/>
          <w:color w:val="000000"/>
          <w:spacing w:val="0"/>
          <w:lang w:val="ru-RU" w:eastAsia="ru-RU" w:bidi="ar-SA"/>
        </w:rPr>
      </w:pPr>
      <w:r>
        <w:rPr>
          <w:b w:val="false"/>
          <w:i w:val="false"/>
          <w:iCs w:val="false"/>
          <w:caps w:val="false"/>
          <w:smallCaps w:val="false"/>
          <w:color w:val="000000"/>
          <w:spacing w:val="0"/>
          <w:sz w:val="24"/>
          <w:szCs w:val="24"/>
          <w:lang w:val="ru-RU" w:eastAsia="ru-RU" w:bidi="ar-SA"/>
        </w:rPr>
        <w:t>Стороны определили, что вышеизложенные заверения об обстоятельствах имеют существенное значение для Покупателя и Покупатель при исполнении договора будет полагаться на данные заверения об обстоятельствах.</w:t>
      </w:r>
    </w:p>
    <w:p>
      <w:pPr>
        <w:pStyle w:val="Style20"/>
        <w:widowControl/>
        <w:suppressAutoHyphens w:val="true"/>
        <w:overflowPunct w:val="true"/>
        <w:bidi w:val="0"/>
        <w:spacing w:before="0" w:after="0"/>
        <w:ind w:left="0" w:right="57" w:firstLine="567"/>
        <w:jc w:val="both"/>
        <w:textAlignment w:val="baseline"/>
        <w:rPr>
          <w:rFonts w:ascii="Times New Roman" w:hAnsi="Times New Roman"/>
          <w:b w:val="false"/>
          <w:b w:val="false"/>
          <w:i w:val="false"/>
          <w:i w:val="false"/>
          <w:iCs w:val="false"/>
          <w:caps w:val="false"/>
          <w:smallCaps w:val="false"/>
          <w:color w:val="000000"/>
          <w:spacing w:val="0"/>
          <w:lang w:val="ru-RU" w:eastAsia="ru-RU" w:bidi="ar-SA"/>
        </w:rPr>
      </w:pPr>
      <w:r>
        <w:rPr>
          <w:b w:val="false"/>
          <w:i w:val="false"/>
          <w:iCs w:val="false"/>
          <w:caps w:val="false"/>
          <w:smallCaps w:val="false"/>
          <w:color w:val="000000"/>
          <w:spacing w:val="0"/>
          <w:sz w:val="24"/>
          <w:szCs w:val="24"/>
          <w:lang w:val="ru-RU" w:eastAsia="ru-RU" w:bidi="ar-SA"/>
        </w:rPr>
        <w:t>При недостоверности данных заверений об обстоятельствах, в том числе в части своевременного декларирования и уплаты налогов, представления достоверной налоговой отчетности, Поставщик обязан в полном объеме возместить Покупателю причиненные убытки и расходы, в том числе возникшие в результате отказа Покупателю в возмещении причитающихся ему сумм налогов, доначислении налогов, начислении пеней, наложении штрафов.</w:t>
      </w:r>
    </w:p>
    <w:p>
      <w:pPr>
        <w:pStyle w:val="Normal"/>
        <w:numPr>
          <w:ilvl w:val="0"/>
          <w:numId w:val="0"/>
        </w:numPr>
        <w:ind w:left="1305" w:hanging="0"/>
        <w:jc w:val="both"/>
        <w:rPr>
          <w:sz w:val="24"/>
          <w:szCs w:val="24"/>
          <w:lang w:val="ru-RU"/>
        </w:rPr>
      </w:pPr>
      <w:r>
        <w:rPr>
          <w:sz w:val="24"/>
          <w:szCs w:val="24"/>
          <w:lang w:val="ru-RU"/>
        </w:rPr>
      </w:r>
    </w:p>
    <w:p>
      <w:pPr>
        <w:pStyle w:val="Normal"/>
        <w:ind w:firstLine="540"/>
        <w:jc w:val="center"/>
        <w:rPr>
          <w:b/>
          <w:b/>
          <w:lang w:val="ru-RU"/>
        </w:rPr>
      </w:pPr>
      <w:r>
        <w:rPr>
          <w:b/>
          <w:sz w:val="24"/>
          <w:szCs w:val="24"/>
          <w:lang w:val="ru-RU"/>
        </w:rPr>
        <w:t xml:space="preserve">11. ЮРИДИЧЕСКИЕ АДРЕСА, БАНКОВСКИЕ РЕКВИЗИТЫ И ПОДПИСИ СТОРОН:  </w:t>
      </w:r>
    </w:p>
    <w:tbl>
      <w:tblPr>
        <w:tblW w:w="10890" w:type="dxa"/>
        <w:jc w:val="left"/>
        <w:tblInd w:w="0" w:type="dxa"/>
        <w:tblLayout w:type="fixed"/>
        <w:tblCellMar>
          <w:top w:w="0" w:type="dxa"/>
          <w:left w:w="108" w:type="dxa"/>
          <w:bottom w:w="0" w:type="dxa"/>
          <w:right w:w="108" w:type="dxa"/>
        </w:tblCellMar>
        <w:tblLook w:val="01e0" w:noHBand="0" w:noVBand="0" w:firstColumn="1" w:lastRow="1" w:lastColumn="1" w:firstRow="1"/>
      </w:tblPr>
      <w:tblGrid>
        <w:gridCol w:w="4787"/>
        <w:gridCol w:w="6102"/>
      </w:tblGrid>
      <w:tr>
        <w:trPr>
          <w:trHeight w:val="1850" w:hRule="atLeast"/>
        </w:trPr>
        <w:tc>
          <w:tcPr>
            <w:tcW w:w="4787" w:type="dxa"/>
            <w:tcBorders/>
          </w:tcPr>
          <w:p>
            <w:pPr>
              <w:pStyle w:val="Normal"/>
              <w:widowControl w:val="false"/>
              <w:rPr>
                <w:sz w:val="24"/>
                <w:szCs w:val="24"/>
              </w:rPr>
            </w:pPr>
            <w:r>
              <w:rPr>
                <w:b/>
                <w:sz w:val="24"/>
                <w:szCs w:val="24"/>
                <w:lang w:val="ru-RU"/>
              </w:rPr>
              <w:t>ПОСТАВЩИК</w:t>
            </w:r>
            <w:r>
              <w:rPr>
                <w:sz w:val="24"/>
                <w:szCs w:val="24"/>
                <w:lang w:val="ru-RU"/>
              </w:rPr>
              <w:t xml:space="preserve"> </w:t>
            </w:r>
          </w:p>
          <w:p>
            <w:pPr>
              <w:pStyle w:val="Normal"/>
              <w:widowControl w:val="false"/>
              <w:overflowPunct w:val="false"/>
              <w:jc w:val="both"/>
              <w:textAlignment w:val="auto"/>
              <w:rPr>
                <w:lang w:val="ru-RU"/>
              </w:rPr>
            </w:pPr>
            <w:permStart w:id="1350978416" w:edGrp="everyone"/>
            <w:r>
              <w:rPr>
                <w:sz w:val="24"/>
                <w:szCs w:val="24"/>
                <w:lang w:val="ru-RU"/>
              </w:rPr>
              <w:t>______________________________________</w:t>
            </w:r>
            <w:permEnd w:id="1350978416"/>
          </w:p>
          <w:p>
            <w:pPr>
              <w:pStyle w:val="Normal"/>
              <w:widowControl w:val="false"/>
              <w:overflowPunct w:val="false"/>
              <w:jc w:val="both"/>
              <w:textAlignment w:val="auto"/>
              <w:rPr>
                <w:sz w:val="24"/>
                <w:szCs w:val="24"/>
              </w:rPr>
            </w:pPr>
            <w:r>
              <w:rPr>
                <w:sz w:val="24"/>
                <w:szCs w:val="24"/>
                <w:lang w:val="ru-RU"/>
              </w:rPr>
              <w:t>Юр. адрес: ____________________________</w:t>
            </w:r>
          </w:p>
          <w:p>
            <w:pPr>
              <w:pStyle w:val="Normal"/>
              <w:widowControl w:val="false"/>
              <w:overflowPunct w:val="false"/>
              <w:jc w:val="both"/>
              <w:textAlignment w:val="auto"/>
              <w:rPr>
                <w:lang w:val="ru-RU"/>
              </w:rPr>
            </w:pPr>
            <w:r>
              <w:rPr>
                <w:sz w:val="24"/>
                <w:szCs w:val="24"/>
                <w:lang w:val="ru-RU"/>
              </w:rPr>
              <w:t>______________________________________</w:t>
            </w:r>
          </w:p>
          <w:p>
            <w:pPr>
              <w:pStyle w:val="Normal"/>
              <w:widowControl w:val="false"/>
              <w:overflowPunct w:val="false"/>
              <w:jc w:val="both"/>
              <w:textAlignment w:val="auto"/>
              <w:rPr>
                <w:lang w:val="ru-RU"/>
              </w:rPr>
            </w:pPr>
            <w:r>
              <w:rPr>
                <w:sz w:val="24"/>
                <w:szCs w:val="24"/>
                <w:lang w:val="ru-RU"/>
              </w:rPr>
              <w:t>Факт. адрес: ___________________________</w:t>
            </w:r>
          </w:p>
          <w:p>
            <w:pPr>
              <w:pStyle w:val="Normal"/>
              <w:widowControl w:val="false"/>
              <w:overflowPunct w:val="false"/>
              <w:jc w:val="both"/>
              <w:textAlignment w:val="auto"/>
              <w:rPr>
                <w:lang w:val="ru-RU"/>
              </w:rPr>
            </w:pPr>
            <w:r>
              <w:rPr>
                <w:sz w:val="24"/>
                <w:szCs w:val="24"/>
                <w:lang w:val="ru-RU"/>
              </w:rPr>
              <w:t>______________________________________</w:t>
            </w:r>
          </w:p>
          <w:p>
            <w:pPr>
              <w:pStyle w:val="Normal"/>
              <w:widowControl w:val="false"/>
              <w:overflowPunct w:val="false"/>
              <w:jc w:val="both"/>
              <w:textAlignment w:val="auto"/>
              <w:rPr>
                <w:lang w:val="ru-RU"/>
              </w:rPr>
            </w:pPr>
            <w:r>
              <w:rPr>
                <w:sz w:val="24"/>
                <w:szCs w:val="24"/>
                <w:lang w:val="ru-RU"/>
              </w:rPr>
              <w:t>ИНН/КПП ____________________________</w:t>
            </w:r>
          </w:p>
          <w:p>
            <w:pPr>
              <w:pStyle w:val="Normal"/>
              <w:widowControl w:val="false"/>
              <w:overflowPunct w:val="false"/>
              <w:jc w:val="both"/>
              <w:textAlignment w:val="auto"/>
              <w:rPr>
                <w:lang w:val="ru-RU"/>
              </w:rPr>
            </w:pPr>
            <w:r>
              <w:rPr>
                <w:sz w:val="24"/>
                <w:szCs w:val="24"/>
                <w:lang w:val="ru-RU"/>
              </w:rPr>
              <w:t>ОГРН ________________________________</w:t>
            </w:r>
          </w:p>
          <w:p>
            <w:pPr>
              <w:pStyle w:val="Normal"/>
              <w:widowControl w:val="false"/>
              <w:overflowPunct w:val="false"/>
              <w:jc w:val="both"/>
              <w:textAlignment w:val="auto"/>
              <w:rPr>
                <w:lang w:val="ru-RU"/>
              </w:rPr>
            </w:pPr>
            <w:r>
              <w:rPr>
                <w:sz w:val="24"/>
                <w:szCs w:val="24"/>
                <w:lang w:val="ru-RU"/>
              </w:rPr>
              <w:t>Р/с ___________________________________</w:t>
            </w:r>
          </w:p>
          <w:p>
            <w:pPr>
              <w:pStyle w:val="Normal"/>
              <w:widowControl w:val="false"/>
              <w:overflowPunct w:val="false"/>
              <w:jc w:val="both"/>
              <w:textAlignment w:val="auto"/>
              <w:rPr>
                <w:lang w:val="ru-RU"/>
              </w:rPr>
            </w:pPr>
            <w:r>
              <w:rPr>
                <w:sz w:val="24"/>
                <w:szCs w:val="24"/>
                <w:lang w:val="ru-RU"/>
              </w:rPr>
              <w:t>в ____________________________________</w:t>
            </w:r>
          </w:p>
          <w:p>
            <w:pPr>
              <w:pStyle w:val="Normal"/>
              <w:widowControl w:val="false"/>
              <w:overflowPunct w:val="false"/>
              <w:jc w:val="both"/>
              <w:textAlignment w:val="auto"/>
              <w:rPr>
                <w:lang w:val="ru-RU"/>
              </w:rPr>
            </w:pPr>
            <w:r>
              <w:rPr>
                <w:sz w:val="24"/>
                <w:szCs w:val="24"/>
                <w:lang w:val="ru-RU"/>
              </w:rPr>
              <w:t>К/с___________________________________</w:t>
            </w:r>
          </w:p>
          <w:p>
            <w:pPr>
              <w:pStyle w:val="Normal"/>
              <w:widowControl w:val="false"/>
              <w:overflowPunct w:val="false"/>
              <w:jc w:val="both"/>
              <w:textAlignment w:val="auto"/>
              <w:rPr>
                <w:lang w:val="ru-RU"/>
              </w:rPr>
            </w:pPr>
            <w:r>
              <w:rPr>
                <w:sz w:val="24"/>
                <w:szCs w:val="24"/>
                <w:lang w:val="ru-RU"/>
              </w:rPr>
              <w:t>БИК _________________________________</w:t>
            </w:r>
          </w:p>
          <w:p>
            <w:pPr>
              <w:pStyle w:val="Normal"/>
              <w:widowControl w:val="false"/>
              <w:overflowPunct w:val="false"/>
              <w:jc w:val="both"/>
              <w:textAlignment w:val="auto"/>
              <w:rPr>
                <w:lang w:val="ru-RU"/>
              </w:rPr>
            </w:pPr>
            <w:r>
              <w:rPr>
                <w:sz w:val="24"/>
                <w:szCs w:val="24"/>
                <w:lang w:val="ru-RU"/>
              </w:rPr>
              <w:t>Тел./факс _____________________________</w:t>
            </w:r>
          </w:p>
          <w:p>
            <w:pPr>
              <w:pStyle w:val="Normal"/>
              <w:widowControl w:val="false"/>
              <w:overflowPunct w:val="false"/>
              <w:jc w:val="both"/>
              <w:textAlignment w:val="auto"/>
              <w:rPr>
                <w:lang w:val="ru-RU"/>
              </w:rPr>
            </w:pPr>
            <w:permStart w:id="1350978416" w:edGrp="everyone1"/>
            <w:r>
              <w:rPr>
                <w:sz w:val="24"/>
                <w:szCs w:val="24"/>
                <w:lang w:val="ru-RU"/>
              </w:rPr>
              <w:t>E-mail:________________________________</w:t>
            </w:r>
            <w:permEnd w:id="1350978416"/>
          </w:p>
          <w:p>
            <w:pPr>
              <w:pStyle w:val="Normal"/>
              <w:widowControl w:val="false"/>
              <w:rPr>
                <w:sz w:val="24"/>
                <w:szCs w:val="24"/>
                <w:lang w:val="ru-RU"/>
              </w:rPr>
            </w:pPr>
            <w:r>
              <w:rPr>
                <w:sz w:val="24"/>
                <w:szCs w:val="24"/>
                <w:lang w:val="ru-RU"/>
              </w:rPr>
            </w:r>
          </w:p>
        </w:tc>
        <w:tc>
          <w:tcPr>
            <w:tcW w:w="6102" w:type="dxa"/>
            <w:tcBorders/>
          </w:tcPr>
          <w:p>
            <w:pPr>
              <w:pStyle w:val="Normal"/>
              <w:widowControl w:val="false"/>
              <w:rPr>
                <w:b/>
                <w:b/>
                <w:lang w:val="ru-RU"/>
              </w:rPr>
            </w:pPr>
            <w:r>
              <w:rPr>
                <w:b/>
                <w:sz w:val="24"/>
                <w:szCs w:val="24"/>
                <w:lang w:val="ru-RU"/>
              </w:rPr>
              <w:t>ПОКУПАТЕЛЬ</w:t>
            </w:r>
          </w:p>
          <w:p>
            <w:pPr>
              <w:pStyle w:val="Normal"/>
              <w:widowControl w:val="false"/>
              <w:overflowPunct w:val="false"/>
              <w:jc w:val="both"/>
              <w:textAlignment w:val="auto"/>
              <w:rPr>
                <w:b/>
                <w:b/>
                <w:lang w:val="ru-RU"/>
              </w:rPr>
            </w:pPr>
            <w:r>
              <w:rPr>
                <w:b/>
                <w:sz w:val="24"/>
                <w:szCs w:val="24"/>
                <w:lang w:val="ru-RU"/>
              </w:rPr>
              <w:t>ООО «Атмосфера вкуса»</w:t>
            </w:r>
          </w:p>
          <w:p>
            <w:pPr>
              <w:pStyle w:val="Normal"/>
              <w:widowControl w:val="false"/>
              <w:overflowPunct w:val="false"/>
              <w:jc w:val="both"/>
              <w:textAlignment w:val="auto"/>
              <w:rPr>
                <w:sz w:val="24"/>
                <w:szCs w:val="24"/>
                <w:lang w:val="ru-RU"/>
              </w:rPr>
            </w:pPr>
            <w:r>
              <w:rPr>
                <w:sz w:val="24"/>
                <w:szCs w:val="24"/>
                <w:lang w:val="ru-RU"/>
              </w:rPr>
              <w:t xml:space="preserve">Адрес юридический: 622036, Свердловская область, г. Нижний Тагил, </w:t>
            </w:r>
            <w:hyperlink r:id="rId2">
              <w:r>
                <w:rPr>
                  <w:sz w:val="24"/>
                  <w:szCs w:val="24"/>
                  <w:lang w:val="ru-RU"/>
                </w:rPr>
                <w:t>ул. Новострой, д. 15</w:t>
              </w:r>
            </w:hyperlink>
            <w:r>
              <w:rPr>
                <w:sz w:val="24"/>
                <w:szCs w:val="24"/>
                <w:lang w:val="ru-RU"/>
              </w:rPr>
              <w:t>, кв. 5</w:t>
            </w:r>
          </w:p>
          <w:p>
            <w:pPr>
              <w:pStyle w:val="Normal"/>
              <w:widowControl w:val="false"/>
              <w:overflowPunct w:val="false"/>
              <w:jc w:val="both"/>
              <w:textAlignment w:val="auto"/>
              <w:rPr>
                <w:lang w:val="ru-RU"/>
              </w:rPr>
            </w:pPr>
            <w:r>
              <w:rPr>
                <w:sz w:val="24"/>
                <w:szCs w:val="24"/>
                <w:lang w:val="ru-RU"/>
              </w:rPr>
              <w:t>Почтовый адрес: 620134, г. Екатеринбург, ОПС № 134, а/я 63</w:t>
            </w:r>
          </w:p>
          <w:p>
            <w:pPr>
              <w:pStyle w:val="Normal"/>
              <w:widowControl w:val="false"/>
              <w:overflowPunct w:val="false"/>
              <w:jc w:val="both"/>
              <w:textAlignment w:val="auto"/>
              <w:rPr>
                <w:lang w:val="ru-RU"/>
              </w:rPr>
            </w:pPr>
            <w:r>
              <w:rPr>
                <w:sz w:val="24"/>
                <w:szCs w:val="24"/>
                <w:lang w:val="ru-RU"/>
              </w:rPr>
              <w:t>ОГРН 1196658026993 ИНН 6623130496 КПП 662301001</w:t>
            </w:r>
          </w:p>
          <w:p>
            <w:pPr>
              <w:pStyle w:val="Normal"/>
              <w:widowControl w:val="false"/>
              <w:overflowPunct w:val="false"/>
              <w:jc w:val="both"/>
              <w:textAlignment w:val="auto"/>
              <w:rPr>
                <w:lang w:val="ru-RU"/>
              </w:rPr>
            </w:pPr>
            <w:r>
              <w:rPr>
                <w:sz w:val="24"/>
                <w:szCs w:val="24"/>
                <w:lang w:val="ru-RU"/>
              </w:rPr>
              <w:t>Р/с 40702810638240000682</w:t>
            </w:r>
          </w:p>
          <w:p>
            <w:pPr>
              <w:pStyle w:val="Normal"/>
              <w:widowControl w:val="false"/>
              <w:overflowPunct w:val="false"/>
              <w:spacing w:lineRule="atLeast" w:line="240"/>
              <w:jc w:val="both"/>
              <w:textAlignment w:val="auto"/>
              <w:rPr>
                <w:lang w:val="ru-RU"/>
              </w:rPr>
            </w:pPr>
            <w:r>
              <w:rPr>
                <w:sz w:val="24"/>
                <w:szCs w:val="24"/>
                <w:lang w:val="ru-RU"/>
              </w:rPr>
              <w:t>в ФИЛИАЛ «ЕКАТЕРИНБУРГСКИЙ» АО «АЛЬФА-БАНК» БИК 046577964</w:t>
            </w:r>
          </w:p>
          <w:p>
            <w:pPr>
              <w:pStyle w:val="Normal"/>
              <w:widowControl w:val="false"/>
              <w:overflowPunct w:val="false"/>
              <w:spacing w:lineRule="atLeast" w:line="240"/>
              <w:jc w:val="both"/>
              <w:textAlignment w:val="auto"/>
              <w:rPr>
                <w:lang w:val="ru-RU"/>
              </w:rPr>
            </w:pPr>
            <w:r>
              <w:rPr>
                <w:sz w:val="24"/>
                <w:szCs w:val="24"/>
                <w:lang w:val="ru-RU"/>
              </w:rPr>
              <w:t>Кор./сч: 30101810100000000964</w:t>
            </w:r>
          </w:p>
          <w:p>
            <w:pPr>
              <w:pStyle w:val="Normal"/>
              <w:widowControl w:val="false"/>
              <w:overflowPunct w:val="false"/>
              <w:jc w:val="both"/>
              <w:textAlignment w:val="auto"/>
              <w:rPr>
                <w:lang w:val="ru-RU"/>
              </w:rPr>
            </w:pPr>
            <w:r>
              <w:rPr>
                <w:sz w:val="24"/>
                <w:szCs w:val="24"/>
                <w:lang w:val="ru-RU"/>
              </w:rPr>
              <w:t>Телефон: 8 343 3-790-790</w:t>
            </w:r>
          </w:p>
          <w:p>
            <w:pPr>
              <w:pStyle w:val="Normal"/>
              <w:widowControl w:val="false"/>
              <w:overflowPunct w:val="false"/>
              <w:jc w:val="both"/>
              <w:textAlignment w:val="auto"/>
              <w:rPr>
                <w:sz w:val="24"/>
                <w:szCs w:val="24"/>
                <w:lang w:val="ru-RU"/>
              </w:rPr>
            </w:pPr>
            <w:r>
              <w:rPr>
                <w:sz w:val="24"/>
                <w:szCs w:val="24"/>
                <w:lang w:val="ru-RU"/>
              </w:rPr>
              <w:t xml:space="preserve">E-mail: </w:t>
            </w:r>
            <w:hyperlink r:id="rId3">
              <w:r>
                <w:rPr>
                  <w:sz w:val="24"/>
                  <w:szCs w:val="24"/>
                  <w:lang w:val="ru-RU"/>
                </w:rPr>
                <w:t>evroasia@evroasia.ru</w:t>
              </w:r>
            </w:hyperlink>
          </w:p>
          <w:p>
            <w:pPr>
              <w:pStyle w:val="Normal"/>
              <w:widowControl w:val="false"/>
              <w:overflowPunct w:val="false"/>
              <w:jc w:val="both"/>
              <w:textAlignment w:val="auto"/>
              <w:rPr>
                <w:lang w:val="ru-RU"/>
              </w:rPr>
            </w:pPr>
            <w:r>
              <w:rPr>
                <w:sz w:val="24"/>
                <w:szCs w:val="24"/>
                <w:lang w:val="ru-RU"/>
              </w:rPr>
              <w:t>Сайт: www.evroasia.ru</w:t>
            </w:r>
          </w:p>
          <w:p>
            <w:pPr>
              <w:pStyle w:val="ConsNonformat"/>
              <w:widowControl w:val="false"/>
              <w:tabs>
                <w:tab w:val="clear" w:pos="708"/>
                <w:tab w:val="center" w:pos="3132" w:leader="none"/>
              </w:tabs>
              <w:rPr>
                <w:rFonts w:ascii="Times New Roman" w:hAnsi="Times New Roman" w:cs="Times New Roman"/>
              </w:rPr>
            </w:pPr>
            <w:r>
              <w:rPr>
                <w:rFonts w:cs="Times New Roman" w:ascii="Times New Roman" w:hAnsi="Times New Roman"/>
                <w:sz w:val="24"/>
                <w:szCs w:val="24"/>
              </w:rPr>
              <w:t xml:space="preserve">                              </w:t>
            </w:r>
          </w:p>
        </w:tc>
      </w:tr>
    </w:tbl>
    <w:p>
      <w:pPr>
        <w:pStyle w:val="Style20"/>
        <w:tabs>
          <w:tab w:val="clear" w:pos="708"/>
          <w:tab w:val="left" w:pos="5040" w:leader="none"/>
        </w:tabs>
        <w:rPr>
          <w:b/>
          <w:b/>
          <w:lang w:val="ru-RU"/>
        </w:rPr>
      </w:pPr>
      <w:r>
        <w:rPr>
          <w:b/>
          <w:sz w:val="24"/>
          <w:szCs w:val="24"/>
          <w:lang w:val="ru-RU"/>
        </w:rPr>
        <w:t>ПОСТАВЩИК                                                        ПОКУПАТЕЛЬ</w:t>
      </w:r>
    </w:p>
    <w:p>
      <w:pPr>
        <w:pStyle w:val="Style20"/>
        <w:tabs>
          <w:tab w:val="clear" w:pos="708"/>
          <w:tab w:val="left" w:pos="5040" w:leader="none"/>
        </w:tabs>
        <w:rPr>
          <w:b/>
          <w:b/>
          <w:lang w:val="ru-RU"/>
        </w:rPr>
      </w:pPr>
      <w:permStart w:id="1099526479" w:edGrp="everyone"/>
      <w:r>
        <w:rPr>
          <w:b/>
          <w:sz w:val="24"/>
          <w:szCs w:val="24"/>
          <w:lang w:val="ru-RU"/>
        </w:rPr>
        <w:t>________________________________                    Директор</w:t>
      </w:r>
      <w:permEnd w:id="1099526479"/>
    </w:p>
    <w:p>
      <w:pPr>
        <w:pStyle w:val="Style20"/>
        <w:tabs>
          <w:tab w:val="clear" w:pos="708"/>
          <w:tab w:val="left" w:pos="5040" w:leader="none"/>
        </w:tabs>
        <w:rPr>
          <w:sz w:val="24"/>
          <w:szCs w:val="24"/>
          <w:lang w:val="ru-RU"/>
        </w:rPr>
      </w:pPr>
      <w:r>
        <w:rPr>
          <w:sz w:val="24"/>
          <w:szCs w:val="24"/>
          <w:lang w:val="ru-RU"/>
        </w:rPr>
      </w:r>
    </w:p>
    <w:p>
      <w:pPr>
        <w:pStyle w:val="Normal"/>
        <w:tabs>
          <w:tab w:val="clear" w:pos="708"/>
          <w:tab w:val="left" w:pos="5040" w:leader="none"/>
          <w:tab w:val="left" w:pos="7060" w:leader="none"/>
        </w:tabs>
        <w:jc w:val="both"/>
        <w:rPr>
          <w:lang w:val="ru-RU"/>
        </w:rPr>
      </w:pPr>
      <w:permStart w:id="1473992901" w:edGrp="everyone"/>
      <w:r>
        <w:rPr>
          <w:sz w:val="24"/>
          <w:szCs w:val="24"/>
          <w:lang w:val="ru-RU"/>
        </w:rPr>
        <w:t>_________________ / __________________ /         ________________________ / О.Ю. Никифорова /</w:t>
      </w:r>
      <w:permEnd w:id="1473992901"/>
    </w:p>
    <w:p>
      <w:pPr>
        <w:pStyle w:val="Normal"/>
        <w:tabs>
          <w:tab w:val="clear" w:pos="708"/>
          <w:tab w:val="left" w:pos="8640" w:leader="none"/>
        </w:tabs>
        <w:rPr>
          <w:b/>
          <w:b/>
          <w:lang w:val="ru-RU"/>
        </w:rPr>
      </w:pPr>
      <w:r>
        <w:rPr>
          <w:b/>
          <w:sz w:val="24"/>
          <w:szCs w:val="24"/>
          <w:lang w:val="ru-RU"/>
        </w:rPr>
        <w:t>м.п.                                                                             м.п.</w:t>
      </w:r>
    </w:p>
    <w:p>
      <w:pPr>
        <w:pStyle w:val="Normal"/>
        <w:tabs>
          <w:tab w:val="clear" w:pos="708"/>
          <w:tab w:val="left" w:pos="1290" w:leader="none"/>
        </w:tabs>
        <w:rPr>
          <w:lang w:val="ru-RU"/>
        </w:rPr>
      </w:pPr>
      <w:r>
        <w:rPr>
          <w:sz w:val="24"/>
          <w:szCs w:val="24"/>
          <w:lang w:val="ru-RU"/>
        </w:rPr>
        <w:tab/>
      </w:r>
    </w:p>
    <w:sectPr>
      <w:footerReference w:type="even" r:id="rId4"/>
      <w:footerReference w:type="default" r:id="rId5"/>
      <w:footerReference w:type="first" r:id="rId6"/>
      <w:type w:val="nextPage"/>
      <w:pgSz w:w="12240" w:h="15840"/>
      <w:pgMar w:left="851" w:right="476" w:gutter="0" w:header="0" w:top="360" w:footer="583" w:bottom="6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OpenSymbol">
    <w:altName w:val="Arial Unicode MS"/>
    <w:charset w:val="01"/>
    <w:family w:val="roman"/>
    <w:pitch w:val="variable"/>
  </w:font>
  <w:font w:name="Liberation Sans">
    <w:altName w:val="Arial"/>
    <w:charset w:val="01"/>
    <w:family w:val="roman"/>
    <w:pitch w:val="variable"/>
  </w:font>
  <w:font w:name="Courier New">
    <w:charset w:val="01"/>
    <w:family w:val="roman"/>
    <w:pitch w:val="variable"/>
  </w:font>
  <w:font w:name="Wingdings">
    <w:charset w:val="02"/>
    <w:family w:val="auto"/>
    <w:pitch w:val="default"/>
  </w:font>
  <w:font w:name="Courier New">
    <w:charset w:val="01"/>
    <w:family w:val="modern"/>
    <w:pitch w:val="fixed"/>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5"/>
      <w:ind w:right="360" w:hanging="0"/>
      <w:rPr/>
    </w:pPr>
    <w:r>
      <w:rPr/>
      <mc:AlternateContent>
        <mc:Choice Requires="wps">
          <w:drawing>
            <wp:anchor behindDoc="0" distT="0" distB="0" distL="0" distR="0" simplePos="0" locked="0" layoutInCell="0" allowOverlap="1" relativeHeight="2">
              <wp:simplePos x="0" y="0"/>
              <wp:positionH relativeFrom="margin">
                <wp:align>right</wp:align>
              </wp:positionH>
              <wp:positionV relativeFrom="paragraph">
                <wp:posOffset>635</wp:posOffset>
              </wp:positionV>
              <wp:extent cx="14605" cy="14605"/>
              <wp:effectExtent l="0" t="0" r="0" b="0"/>
              <wp:wrapSquare wrapText="bothSides"/>
              <wp:docPr id="1" name="Врезка1"/>
              <a:graphic xmlns:a="http://schemas.openxmlformats.org/drawingml/2006/main">
                <a:graphicData uri="http://schemas.microsoft.com/office/word/2010/wordprocessingShape">
                  <wps:wsp>
                    <wps:cNvSpPr/>
                    <wps:spPr>
                      <a:xfrm>
                        <a:off x="0" y="0"/>
                        <a:ext cx="14760" cy="14760"/>
                      </a:xfrm>
                      <a:prstGeom prst="rect">
                        <a:avLst/>
                      </a:prstGeom>
                      <a:noFill/>
                      <a:ln w="0">
                        <a:noFill/>
                      </a:ln>
                    </wps:spPr>
                    <wps:style>
                      <a:lnRef idx="0"/>
                      <a:fillRef idx="0"/>
                      <a:effectRef idx="0"/>
                      <a:fontRef idx="minor"/>
                    </wps:style>
                    <wps:txbx>
                      <w:txbxContent>
                        <w:p>
                          <w:pPr>
                            <w:pStyle w:val="Style25"/>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wps:txbx>
                    <wps:bodyPr lIns="0" rIns="0" tIns="0" bIns="0" anchor="t">
                      <a:spAutoFit/>
                    </wps:bodyPr>
                  </wps:wsp>
                </a:graphicData>
              </a:graphic>
            </wp:anchor>
          </w:drawing>
        </mc:Choice>
        <mc:Fallback>
          <w:pict>
            <v:rect id="shape_0" ID="Врезка1" path="m0,0l-2147483645,0l-2147483645,-2147483646l0,-2147483646xe" stroked="f" o:allowincell="f" style="position:absolute;margin-left:0pt;margin-top:0.05pt;width:1.1pt;height:1.1pt;mso-wrap-style:square;v-text-anchor:top;mso-position-horizontal:right;mso-position-horizontal-relative:margin">
              <v:fill o:detectmouseclick="t" on="false"/>
              <v:stroke color="#3465a4" joinstyle="round" endcap="flat"/>
              <v:textbox>
                <w:txbxContent>
                  <w:p>
                    <w:pPr>
                      <w:pStyle w:val="Style25"/>
                      <w:rPr>
                        <w:rStyle w:val="Pagenumber"/>
                      </w:rPr>
                    </w:pPr>
                    <w:r>
                      <w:rPr>
                        <w:rStyle w:val="Pagenumber"/>
                        <w:color w:val="000000"/>
                      </w:rPr>
                      <w:fldChar w:fldCharType="begin"/>
                    </w:r>
                    <w:r>
                      <w:rPr>
                        <w:rStyle w:val="Pagenumber"/>
                        <w:color w:val="000000"/>
                      </w:rPr>
                      <w:instrText xml:space="preserve"> PAGE </w:instrText>
                    </w:r>
                    <w:r>
                      <w:rPr>
                        <w:rStyle w:val="Pagenumber"/>
                        <w:color w:val="000000"/>
                      </w:rPr>
                      <w:fldChar w:fldCharType="separate"/>
                    </w:r>
                    <w:r>
                      <w:rPr>
                        <w:rStyle w:val="Pagenumber"/>
                        <w:color w:val="000000"/>
                      </w:rPr>
                      <w:t>0</w:t>
                    </w:r>
                    <w:r>
                      <w:rPr>
                        <w:rStyle w:val="Pagenumber"/>
                        <w:color w:val="000000"/>
                      </w:rPr>
                      <w:fldChar w:fldCharType="end"/>
                    </w:r>
                  </w:p>
                </w:txbxContent>
              </v:textbox>
              <w10:wrap type="square"/>
            </v:rect>
          </w:pict>
        </mc:Fallback>
      </mc:AlternateContent>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5"/>
      <w:ind w:right="360" w:hanging="0"/>
      <w:rPr>
        <w:sz w:val="20"/>
        <w:lang w:val="ru-RU"/>
      </w:rPr>
    </w:pPr>
    <w:r>
      <mc:AlternateContent>
        <mc:Choice Requires="wps">
          <w:drawing>
            <wp:anchor behindDoc="0"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3"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5"/>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5"/>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Style25"/>
      <w:ind w:right="360" w:hanging="0"/>
      <w:rPr>
        <w:sz w:val="20"/>
        <w:lang w:val="ru-RU"/>
      </w:rPr>
    </w:pPr>
    <w:r>
      <mc:AlternateContent>
        <mc:Choice Requires="wps">
          <w:drawing>
            <wp:anchor behindDoc="0" distT="0" distB="0" distL="0" distR="0" simplePos="0" locked="0" layoutInCell="0" allowOverlap="1" relativeHeight="14">
              <wp:simplePos x="0" y="0"/>
              <wp:positionH relativeFrom="margin">
                <wp:align>right</wp:align>
              </wp:positionH>
              <wp:positionV relativeFrom="paragraph">
                <wp:posOffset>635</wp:posOffset>
              </wp:positionV>
              <wp:extent cx="64135" cy="145415"/>
              <wp:effectExtent l="0" t="0" r="0" b="0"/>
              <wp:wrapSquare wrapText="bothSides"/>
              <wp:docPr id="5" name="Врезка2"/>
              <a:graphic xmlns:a="http://schemas.openxmlformats.org/drawingml/2006/main">
                <a:graphicData uri="http://schemas.microsoft.com/office/word/2010/wordprocessingShape">
                  <wps:wsp>
                    <wps:cNvSpPr/>
                    <wps:spPr>
                      <a:xfrm>
                        <a:off x="0" y="0"/>
                        <a:ext cx="64080" cy="145440"/>
                      </a:xfrm>
                      <a:prstGeom prst="rect">
                        <a:avLst/>
                      </a:prstGeom>
                      <a:noFill/>
                      <a:ln w="0">
                        <a:noFill/>
                      </a:ln>
                    </wps:spPr>
                    <wps:style>
                      <a:lnRef idx="0"/>
                      <a:fillRef idx="0"/>
                      <a:effectRef idx="0"/>
                      <a:fontRef idx="minor"/>
                    </wps:style>
                    <wps:txbx>
                      <w:txbxContent>
                        <w:p>
                          <w:pPr>
                            <w:pStyle w:val="Style25"/>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wps:txbx>
                    <wps:bodyPr lIns="0" rIns="0" tIns="0" bIns="0" anchor="t">
                      <a:spAutoFit/>
                    </wps:bodyPr>
                  </wps:wsp>
                </a:graphicData>
              </a:graphic>
            </wp:anchor>
          </w:drawing>
        </mc:Choice>
        <mc:Fallback>
          <w:pict>
            <v:rect id="shape_0" ID="Врезка2" path="m0,0l-2147483645,0l-2147483645,-2147483646l0,-2147483646xe" stroked="f" o:allowincell="f" style="position:absolute;margin-left:540.5pt;margin-top:0.05pt;width:5pt;height:11.4pt;mso-wrap-style:square;v-text-anchor:top;mso-position-horizontal:right;mso-position-horizontal-relative:margin">
              <v:fill o:detectmouseclick="t" on="false"/>
              <v:stroke color="#3465a4" joinstyle="round" endcap="flat"/>
              <v:textbox>
                <w:txbxContent>
                  <w:p>
                    <w:pPr>
                      <w:pStyle w:val="Style25"/>
                      <w:rPr>
                        <w:rStyle w:val="Pagenumber"/>
                        <w:sz w:val="20"/>
                      </w:rPr>
                    </w:pPr>
                    <w:r>
                      <w:rPr>
                        <w:rStyle w:val="Pagenumber"/>
                        <w:color w:val="000000"/>
                        <w:sz w:val="20"/>
                      </w:rPr>
                      <w:fldChar w:fldCharType="begin"/>
                    </w:r>
                    <w:r>
                      <w:rPr>
                        <w:rStyle w:val="Pagenumber"/>
                        <w:sz w:val="20"/>
                        <w:color w:val="000000"/>
                      </w:rPr>
                      <w:instrText xml:space="preserve"> PAGE </w:instrText>
                    </w:r>
                    <w:r>
                      <w:rPr>
                        <w:rStyle w:val="Pagenumber"/>
                        <w:sz w:val="20"/>
                        <w:color w:val="000000"/>
                      </w:rPr>
                      <w:fldChar w:fldCharType="separate"/>
                    </w:r>
                    <w:r>
                      <w:rPr>
                        <w:rStyle w:val="Pagenumber"/>
                        <w:sz w:val="20"/>
                        <w:color w:val="000000"/>
                      </w:rPr>
                      <w:t>6</w:t>
                    </w:r>
                    <w:r>
                      <w:rPr>
                        <w:rStyle w:val="Pagenumber"/>
                        <w:sz w:val="20"/>
                        <w:color w:val="000000"/>
                      </w:rPr>
                      <w:fldChar w:fldCharType="end"/>
                    </w:r>
                  </w:p>
                </w:txbxContent>
              </v:textbox>
              <w10:wrap type="square"/>
            </v:rect>
          </w:pict>
        </mc:Fallback>
      </mc:AlternateContent>
    </w:r>
    <w:r>
      <w:rPr>
        <w:sz w:val="20"/>
        <w:lang w:val="ru-RU"/>
      </w:rPr>
      <w:t>Поставщик_______________                                                                        Покупатель________________</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0"/>
        </w:tabs>
        <w:ind w:left="720" w:hanging="360"/>
      </w:pPr>
      <w:rPr>
        <w:rFonts w:ascii="Wingdings" w:hAnsi="Wingdings" w:cs="Wingdings" w:hint="default"/>
      </w:rPr>
    </w:lvl>
    <w:lvl w:ilvl="1">
      <w:start w:val="1"/>
      <w:numFmt w:val="decimal"/>
      <w:lvlText w:val="%2."/>
      <w:lvlJc w:val="left"/>
      <w:pPr>
        <w:tabs>
          <w:tab w:val="num" w:pos="1440"/>
        </w:tabs>
        <w:ind w:left="1440" w:hanging="360"/>
      </w:pPr>
      <w:rPr/>
    </w:lvl>
    <w:lvl w:ilvl="2">
      <w:start w:val="1"/>
      <w:numFmt w:val="decimal"/>
      <w:lvlText w:val="%3."/>
      <w:lvlJc w:val="left"/>
      <w:pPr>
        <w:tabs>
          <w:tab w:val="num" w:pos="2160"/>
        </w:tabs>
        <w:ind w:left="2160" w:hanging="360"/>
      </w:pPr>
      <w:rPr/>
    </w:lvl>
    <w:lvl w:ilvl="3">
      <w:start w:val="1"/>
      <w:numFmt w:val="decimal"/>
      <w:lvlText w:val="%4."/>
      <w:lvlJc w:val="left"/>
      <w:pPr>
        <w:tabs>
          <w:tab w:val="num" w:pos="2880"/>
        </w:tabs>
        <w:ind w:left="2880" w:hanging="360"/>
      </w:pPr>
      <w:rPr/>
    </w:lvl>
    <w:lvl w:ilvl="4">
      <w:start w:val="1"/>
      <w:numFmt w:val="decimal"/>
      <w:lvlText w:val="%5."/>
      <w:lvlJc w:val="left"/>
      <w:pPr>
        <w:tabs>
          <w:tab w:val="num" w:pos="3600"/>
        </w:tabs>
        <w:ind w:left="3600" w:hanging="360"/>
      </w:pPr>
      <w:rPr/>
    </w:lvl>
    <w:lvl w:ilvl="5">
      <w:start w:val="1"/>
      <w:numFmt w:val="decimal"/>
      <w:lvlText w:val="%6."/>
      <w:lvlJc w:val="left"/>
      <w:pPr>
        <w:tabs>
          <w:tab w:val="num" w:pos="4320"/>
        </w:tabs>
        <w:ind w:left="4320" w:hanging="360"/>
      </w:pPr>
      <w:rPr/>
    </w:lvl>
    <w:lvl w:ilvl="6">
      <w:start w:val="1"/>
      <w:numFmt w:val="decimal"/>
      <w:lvlText w:val="%7."/>
      <w:lvlJc w:val="left"/>
      <w:pPr>
        <w:tabs>
          <w:tab w:val="num" w:pos="5040"/>
        </w:tabs>
        <w:ind w:left="5040" w:hanging="360"/>
      </w:pPr>
      <w:rPr/>
    </w:lvl>
    <w:lvl w:ilvl="7">
      <w:start w:val="1"/>
      <w:numFmt w:val="decimal"/>
      <w:lvlText w:val="%8."/>
      <w:lvlJc w:val="left"/>
      <w:pPr>
        <w:tabs>
          <w:tab w:val="num" w:pos="5760"/>
        </w:tabs>
        <w:ind w:left="5760" w:hanging="360"/>
      </w:pPr>
      <w:rPr/>
    </w:lvl>
    <w:lvl w:ilvl="8">
      <w:start w:val="1"/>
      <w:numFmt w:val="decimal"/>
      <w:lvlText w:val="%9."/>
      <w:lvlJc w:val="left"/>
      <w:pPr>
        <w:tabs>
          <w:tab w:val="num" w:pos="6480"/>
        </w:tabs>
        <w:ind w:left="6480" w:hanging="360"/>
      </w:pPr>
      <w:rPr/>
    </w:lvl>
  </w:abstractNum>
  <w:abstractNum w:abstractNumId="2">
    <w:lvl w:ilvl="0">
      <w:start w:val="1"/>
      <w:numFmt w:val="bullet"/>
      <w:lvlText w:val=""/>
      <w:lvlJc w:val="left"/>
      <w:pPr>
        <w:tabs>
          <w:tab w:val="num" w:pos="360"/>
        </w:tabs>
        <w:ind w:left="1665" w:hanging="360"/>
      </w:pPr>
      <w:rPr>
        <w:rFonts w:ascii="Wingdings" w:hAnsi="Wingdings" w:cs="Wingdings" w:hint="default"/>
        <w:sz w:val="22"/>
        <w:szCs w:val="22"/>
      </w:rPr>
    </w:lvl>
    <w:lvl w:ilvl="1">
      <w:start w:val="1"/>
      <w:numFmt w:val="bullet"/>
      <w:lvlText w:val="o"/>
      <w:lvlJc w:val="left"/>
      <w:pPr>
        <w:tabs>
          <w:tab w:val="num" w:pos="360"/>
        </w:tabs>
        <w:ind w:left="2385" w:hanging="360"/>
      </w:pPr>
      <w:rPr>
        <w:rFonts w:ascii="Courier New" w:hAnsi="Courier New" w:cs="Courier New" w:hint="default"/>
      </w:rPr>
    </w:lvl>
    <w:lvl w:ilvl="2">
      <w:start w:val="1"/>
      <w:numFmt w:val="bullet"/>
      <w:lvlText w:val=""/>
      <w:lvlJc w:val="left"/>
      <w:pPr>
        <w:tabs>
          <w:tab w:val="num" w:pos="360"/>
        </w:tabs>
        <w:ind w:left="3105" w:hanging="360"/>
      </w:pPr>
      <w:rPr>
        <w:rFonts w:ascii="Wingdings" w:hAnsi="Wingdings" w:cs="Wingdings" w:hint="default"/>
      </w:rPr>
    </w:lvl>
    <w:lvl w:ilvl="3">
      <w:start w:val="1"/>
      <w:numFmt w:val="bullet"/>
      <w:lvlText w:val=""/>
      <w:lvlJc w:val="left"/>
      <w:pPr>
        <w:tabs>
          <w:tab w:val="num" w:pos="360"/>
        </w:tabs>
        <w:ind w:left="3825" w:hanging="360"/>
      </w:pPr>
      <w:rPr>
        <w:rFonts w:ascii="Symbol" w:hAnsi="Symbol" w:cs="Symbol" w:hint="default"/>
      </w:rPr>
    </w:lvl>
    <w:lvl w:ilvl="4">
      <w:start w:val="1"/>
      <w:numFmt w:val="bullet"/>
      <w:lvlText w:val="o"/>
      <w:lvlJc w:val="left"/>
      <w:pPr>
        <w:tabs>
          <w:tab w:val="num" w:pos="360"/>
        </w:tabs>
        <w:ind w:left="4545" w:hanging="360"/>
      </w:pPr>
      <w:rPr>
        <w:rFonts w:ascii="Courier New" w:hAnsi="Courier New" w:cs="Courier New" w:hint="default"/>
      </w:rPr>
    </w:lvl>
    <w:lvl w:ilvl="5">
      <w:start w:val="1"/>
      <w:numFmt w:val="bullet"/>
      <w:lvlText w:val=""/>
      <w:lvlJc w:val="left"/>
      <w:pPr>
        <w:tabs>
          <w:tab w:val="num" w:pos="360"/>
        </w:tabs>
        <w:ind w:left="5265" w:hanging="360"/>
      </w:pPr>
      <w:rPr>
        <w:rFonts w:ascii="Wingdings" w:hAnsi="Wingdings" w:cs="Wingdings" w:hint="default"/>
      </w:rPr>
    </w:lvl>
    <w:lvl w:ilvl="6">
      <w:start w:val="1"/>
      <w:numFmt w:val="bullet"/>
      <w:lvlText w:val=""/>
      <w:lvlJc w:val="left"/>
      <w:pPr>
        <w:tabs>
          <w:tab w:val="num" w:pos="360"/>
        </w:tabs>
        <w:ind w:left="5985" w:hanging="360"/>
      </w:pPr>
      <w:rPr>
        <w:rFonts w:ascii="Symbol" w:hAnsi="Symbol" w:cs="Symbol" w:hint="default"/>
      </w:rPr>
    </w:lvl>
    <w:lvl w:ilvl="7">
      <w:start w:val="1"/>
      <w:numFmt w:val="bullet"/>
      <w:lvlText w:val="o"/>
      <w:lvlJc w:val="left"/>
      <w:pPr>
        <w:tabs>
          <w:tab w:val="num" w:pos="360"/>
        </w:tabs>
        <w:ind w:left="6705" w:hanging="360"/>
      </w:pPr>
      <w:rPr>
        <w:rFonts w:ascii="Courier New" w:hAnsi="Courier New" w:cs="Courier New" w:hint="default"/>
      </w:rPr>
    </w:lvl>
    <w:lvl w:ilvl="8">
      <w:start w:val="1"/>
      <w:numFmt w:val="bullet"/>
      <w:lvlText w:val=""/>
      <w:lvlJc w:val="left"/>
      <w:pPr>
        <w:tabs>
          <w:tab w:val="num" w:pos="360"/>
        </w:tabs>
        <w:ind w:left="7425" w:hanging="360"/>
      </w:pPr>
      <w:rPr>
        <w:rFonts w:ascii="Wingdings" w:hAnsi="Wingdings" w:cs="Wingdings" w:hint="default"/>
      </w:rPr>
    </w:lvl>
  </w:abstractNum>
  <w:abstractNum w:abstractNumId="3">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embedSystemFonts/>
  <w:defaultTabStop w:val="708"/>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umentProtection w:edit="readOnly" w:enforcement="1" w:cryptProviderType="rsaAES" w:cryptAlgorithmClass="hash" w:cryptAlgorithmType="typeAny" w:cryptAlgorithmSid="14" w:cryptSpinCount="100000" w:hash="Y7VT24rjbCoDo70P00n9NZtz6BaYRUDrK8+AJEw45saSX3PtKOOCSVLuThRHUdpHIcZXSKTVGGH6p64ATAwhLw==" w:salt="P6qTAN4XvwXUUOQN6N5JeA=="/>
  <w:themeFontLang w:val="ru-RU"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ru-RU" w:eastAsia="ru-RU" w:bidi="ar-SA"/>
      </w:rPr>
    </w:rPrDefault>
    <w:pPrDefault>
      <w:pPr>
        <w:suppressAutoHyphens w:val="true"/>
      </w:pPr>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uiPriority="99"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iPriority="99"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pPr>
      <w:widowControl/>
      <w:suppressAutoHyphens w:val="true"/>
      <w:overflowPunct w:val="true"/>
      <w:bidi w:val="0"/>
      <w:spacing w:before="0" w:after="0"/>
      <w:jc w:val="left"/>
      <w:textAlignment w:val="baseline"/>
    </w:pPr>
    <w:rPr>
      <w:rFonts w:ascii="Times New Roman" w:hAnsi="Times New Roman" w:eastAsia="Times New Roman" w:cs="Times New Roman"/>
      <w:color w:val="auto"/>
      <w:kern w:val="0"/>
      <w:sz w:val="28"/>
      <w:szCs w:val="20"/>
      <w:lang w:val="en-US" w:eastAsia="ru-RU" w:bidi="ar-SA"/>
    </w:rPr>
  </w:style>
  <w:style w:type="paragraph" w:styleId="2">
    <w:name w:val="Heading 2"/>
    <w:basedOn w:val="Normal"/>
    <w:next w:val="Normal"/>
    <w:qFormat/>
    <w:pPr>
      <w:keepNext w:val="true"/>
      <w:tabs>
        <w:tab w:val="clear" w:pos="708"/>
        <w:tab w:val="left" w:pos="6660" w:leader="none"/>
      </w:tabs>
      <w:overflowPunct w:val="false"/>
      <w:textAlignment w:val="auto"/>
      <w:outlineLvl w:val="1"/>
    </w:pPr>
    <w:rPr>
      <w:b/>
      <w:bCs/>
      <w:sz w:val="24"/>
      <w:szCs w:val="24"/>
      <w:lang w:val="ru-RU"/>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Pr/>
  </w:style>
  <w:style w:type="character" w:styleId="Style13">
    <w:name w:val="Символ сноски"/>
    <w:qFormat/>
    <w:rPr>
      <w:vertAlign w:val="superscript"/>
    </w:rPr>
  </w:style>
  <w:style w:type="character" w:styleId="Style14">
    <w:name w:val="Привязка сноски"/>
    <w:rPr>
      <w:vertAlign w:val="superscript"/>
    </w:rPr>
  </w:style>
  <w:style w:type="character" w:styleId="FootnoteCharacters">
    <w:name w:val="Footnote Characters"/>
    <w:semiHidden/>
    <w:qFormat/>
    <w:rsid w:val="00ab5aba"/>
    <w:rPr>
      <w:vertAlign w:val="superscript"/>
    </w:rPr>
  </w:style>
  <w:style w:type="character" w:styleId="Style15">
    <w:name w:val="Интернет-ссылка"/>
    <w:rPr>
      <w:color w:val="000080"/>
      <w:u w:val="single"/>
      <w:lang w:val="zxx" w:eastAsia="zxx" w:bidi="zxx"/>
    </w:rPr>
  </w:style>
  <w:style w:type="character" w:styleId="Style16">
    <w:name w:val="Символ концевой сноски"/>
    <w:qFormat/>
    <w:rPr/>
  </w:style>
  <w:style w:type="character" w:styleId="WW8Num3z0">
    <w:name w:val="WW8Num3z0"/>
    <w:qFormat/>
    <w:rPr/>
  </w:style>
  <w:style w:type="character" w:styleId="WW8Num7z0">
    <w:name w:val="WW8Num7z0"/>
    <w:qFormat/>
    <w:rPr/>
  </w:style>
  <w:style w:type="character" w:styleId="WW8Num6z0">
    <w:name w:val="WW8Num6z0"/>
    <w:qFormat/>
    <w:rPr/>
  </w:style>
  <w:style w:type="character" w:styleId="Style17">
    <w:name w:val="Символ нумерации"/>
    <w:qFormat/>
    <w:rPr/>
  </w:style>
  <w:style w:type="character" w:styleId="WW8Num1z0">
    <w:name w:val="WW8Num1z0"/>
    <w:qFormat/>
    <w:rPr>
      <w:b/>
    </w:rPr>
  </w:style>
  <w:style w:type="character" w:styleId="Style18">
    <w:name w:val="Маркеры"/>
    <w:qFormat/>
    <w:rPr>
      <w:rFonts w:ascii="OpenSymbol" w:hAnsi="OpenSymbol" w:eastAsia="OpenSymbol" w:cs="OpenSymbol"/>
    </w:rPr>
  </w:style>
  <w:style w:type="paragraph" w:styleId="Style19">
    <w:name w:val="Заголовок"/>
    <w:basedOn w:val="Normal"/>
    <w:next w:val="Style20"/>
    <w:qFormat/>
    <w:pPr>
      <w:keepNext w:val="true"/>
      <w:spacing w:before="240" w:after="120"/>
    </w:pPr>
    <w:rPr>
      <w:rFonts w:ascii="Liberation Sans" w:hAnsi="Liberation Sans" w:eastAsia="Noto Sans CJK SC" w:cs="Lohit Devanagari"/>
      <w:sz w:val="28"/>
      <w:szCs w:val="28"/>
    </w:rPr>
  </w:style>
  <w:style w:type="paragraph" w:styleId="Style20">
    <w:name w:val="Body Text"/>
    <w:basedOn w:val="Normal"/>
    <w:pPr>
      <w:spacing w:before="0" w:after="120"/>
    </w:pPr>
    <w:rPr/>
  </w:style>
  <w:style w:type="paragraph" w:styleId="Style21">
    <w:name w:val="List"/>
    <w:basedOn w:val="Style20"/>
    <w:pPr/>
    <w:rPr>
      <w:rFonts w:cs="Lohit Devanagari"/>
    </w:rPr>
  </w:style>
  <w:style w:type="paragraph" w:styleId="Style22">
    <w:name w:val="Caption"/>
    <w:basedOn w:val="Normal"/>
    <w:qFormat/>
    <w:pPr>
      <w:suppressLineNumbers/>
      <w:spacing w:before="120" w:after="120"/>
    </w:pPr>
    <w:rPr>
      <w:rFonts w:cs="Lohit Devanagari"/>
      <w:i/>
      <w:iCs/>
      <w:sz w:val="24"/>
      <w:szCs w:val="24"/>
    </w:rPr>
  </w:style>
  <w:style w:type="paragraph" w:styleId="Style23">
    <w:name w:val="Указатель"/>
    <w:basedOn w:val="Normal"/>
    <w:qFormat/>
    <w:pPr>
      <w:suppressLineNumbers/>
    </w:pPr>
    <w:rPr>
      <w:rFonts w:cs="Lohit Devanagari"/>
      <w:lang w:val="zxx" w:eastAsia="zxx" w:bidi="zxx"/>
    </w:rPr>
  </w:style>
  <w:style w:type="paragraph" w:styleId="Style24">
    <w:name w:val="Колонтитул"/>
    <w:basedOn w:val="Normal"/>
    <w:qFormat/>
    <w:pPr/>
    <w:rPr/>
  </w:style>
  <w:style w:type="paragraph" w:styleId="Style25">
    <w:name w:val="Footer"/>
    <w:basedOn w:val="Normal"/>
    <w:pPr>
      <w:tabs>
        <w:tab w:val="clear" w:pos="708"/>
        <w:tab w:val="center" w:pos="4677" w:leader="none"/>
        <w:tab w:val="right" w:pos="9355" w:leader="none"/>
      </w:tabs>
    </w:pPr>
    <w:rPr/>
  </w:style>
  <w:style w:type="paragraph" w:styleId="ConsPlusNonformat" w:customStyle="1">
    <w:name w:val="ConsPlusNonformat"/>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6">
    <w:name w:val="Body Text Indent"/>
    <w:basedOn w:val="Normal"/>
    <w:pPr>
      <w:tabs>
        <w:tab w:val="clear" w:pos="708"/>
        <w:tab w:val="left" w:pos="7060" w:leader="none"/>
      </w:tabs>
      <w:overflowPunct w:val="false"/>
      <w:ind w:firstLine="540"/>
      <w:textAlignment w:val="auto"/>
    </w:pPr>
    <w:rPr>
      <w:sz w:val="24"/>
      <w:szCs w:val="24"/>
      <w:lang w:val="ru-RU"/>
    </w:rPr>
  </w:style>
  <w:style w:type="paragraph" w:styleId="BodyText2">
    <w:name w:val="Body Text 2"/>
    <w:basedOn w:val="Normal"/>
    <w:qFormat/>
    <w:pPr>
      <w:tabs>
        <w:tab w:val="clear" w:pos="708"/>
        <w:tab w:val="left" w:pos="720" w:leader="none"/>
      </w:tabs>
      <w:jc w:val="both"/>
    </w:pPr>
    <w:rPr>
      <w:sz w:val="20"/>
      <w:lang w:val="ru-RU"/>
    </w:rPr>
  </w:style>
  <w:style w:type="paragraph" w:styleId="BodyTextIndent2">
    <w:name w:val="Body Text Indent 2"/>
    <w:basedOn w:val="Normal"/>
    <w:qFormat/>
    <w:pPr>
      <w:suppressAutoHyphens w:val="true"/>
      <w:overflowPunct w:val="false"/>
      <w:spacing w:lineRule="auto" w:line="480" w:before="0" w:after="120"/>
      <w:ind w:left="283" w:hanging="0"/>
      <w:textAlignment w:val="auto"/>
    </w:pPr>
    <w:rPr>
      <w:sz w:val="24"/>
      <w:szCs w:val="24"/>
      <w:lang w:eastAsia="ar-SA"/>
    </w:rPr>
  </w:style>
  <w:style w:type="paragraph" w:styleId="ConsNonformat" w:customStyle="1">
    <w:name w:val="ConsNonformat"/>
    <w:qFormat/>
    <w:pPr>
      <w:widowControl w:val="false"/>
      <w:suppressAutoHyphens w:val="true"/>
      <w:bidi w:val="0"/>
      <w:spacing w:before="0" w:after="0"/>
      <w:jc w:val="left"/>
    </w:pPr>
    <w:rPr>
      <w:rFonts w:ascii="Courier New" w:hAnsi="Courier New" w:eastAsia="Times New Roman" w:cs="Courier New"/>
      <w:color w:val="auto"/>
      <w:kern w:val="0"/>
      <w:sz w:val="20"/>
      <w:szCs w:val="20"/>
      <w:lang w:val="ru-RU" w:eastAsia="ru-RU" w:bidi="ar-SA"/>
    </w:rPr>
  </w:style>
  <w:style w:type="paragraph" w:styleId="Style27">
    <w:name w:val="Header"/>
    <w:basedOn w:val="Normal"/>
    <w:rsid w:val="00f56674"/>
    <w:pPr>
      <w:tabs>
        <w:tab w:val="clear" w:pos="708"/>
        <w:tab w:val="center" w:pos="4677" w:leader="none"/>
        <w:tab w:val="right" w:pos="9355" w:leader="none"/>
      </w:tabs>
    </w:pPr>
    <w:rPr/>
  </w:style>
  <w:style w:type="paragraph" w:styleId="Style28">
    <w:name w:val="Содержимое врезки"/>
    <w:basedOn w:val="Normal"/>
    <w:qFormat/>
    <w:pPr/>
    <w:rPr/>
  </w:style>
  <w:style w:type="paragraph" w:styleId="21">
    <w:name w:val="Основной текст с отступом 2"/>
    <w:basedOn w:val="Normal"/>
    <w:qFormat/>
    <w:pPr>
      <w:spacing w:lineRule="auto" w:line="480" w:before="0" w:after="120"/>
      <w:ind w:left="283" w:hanging="0"/>
    </w:pPr>
    <w:rPr>
      <w:lang w:val="ru-RU"/>
    </w:rPr>
  </w:style>
  <w:style w:type="numbering" w:styleId="NoList" w:default="1">
    <w:name w:val="No List"/>
    <w:uiPriority w:val="99"/>
    <w:semiHidden/>
    <w:unhideWhenUsed/>
    <w:qFormat/>
  </w:style>
  <w:style w:type="numbering" w:styleId="WW8Num3">
    <w:name w:val="WW8Num3"/>
    <w:qFormat/>
  </w:style>
  <w:style w:type="numbering" w:styleId="WW8Num7">
    <w:name w:val="WW8Num7"/>
    <w:qFormat/>
  </w:style>
  <w:style w:type="numbering" w:styleId="WW8Num6">
    <w:name w:val="WW8Num6"/>
    <w:qFormat/>
  </w:style>
  <w:style w:type="numbering" w:styleId="WW8Num1">
    <w:name w:val="WW8Num1"/>
    <w:qFormat/>
  </w:style>
  <w:style w:type="table" w:default="1" w:styleId="a1">
    <w:name w:val="Normal Table"/>
    <w:uiPriority w:val="99"/>
    <w:semiHidden/>
    <w:unhideWhenUsed/>
    <w:tblPr>
      <w:tblCellMar>
        <w:top w:w="0" w:type="dxa"/>
        <w:left w:w="108" w:type="dxa"/>
        <w:bottom w:w="0" w:type="dxa"/>
        <w:right w:w="108" w:type="dxa"/>
      </w:tblCellMar>
    </w:tblPr>
  </w:style>
  <w:style w:type="table" w:styleId="a8">
    <w:name w:val="Table Grid"/>
    <w:basedOn w:val="a1"/>
    <w:rsid w:val="0066292a"/>
    <w:pPr>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focus.kontur.ru/search?query=&quot;&#1057;&#1074;&#1077;&#1088;&#1076;&#1083;&#1086;&#1074;&#1089;&#1082;&#1072;&#1103;+&#1053;&#1080;&#1078;&#1085;&#1080;&#1081;+&#1058;&#1072;&#1075;&#1080;&#1083;+&#1053;&#1086;&#1074;&#1086;&#1089;&#1090;&#1088;&#1086;&#1081;+15&quot;&amp;state=13521e241a" TargetMode="External"/><Relationship Id="rId3" Type="http://schemas.openxmlformats.org/officeDocument/2006/relationships/hyperlink" Target="mailto:evroasia@evroasia.ru" TargetMode="Externa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oter" Target="footer3.xml"/><Relationship Id="rId7" Type="http://schemas.openxmlformats.org/officeDocument/2006/relationships/numbering" Target="numbering.xml"/><Relationship Id="rId8" Type="http://schemas.openxmlformats.org/officeDocument/2006/relationships/fontTable" Target="fontTable.xml"/><Relationship Id="rId9" Type="http://schemas.openxmlformats.org/officeDocument/2006/relationships/settings" Target="settings.xml"/><Relationship Id="rId10" Type="http://schemas.openxmlformats.org/officeDocument/2006/relationships/theme" Target="theme/theme1.xml"/>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296</TotalTime>
  <Application>LibreOffice/7.3.4.2$Linux_X86_64 LibreOffice_project/30$Build-2</Application>
  <AppVersion>15.0000</AppVersion>
  <DocSecurity>8</DocSecurity>
  <Pages>6</Pages>
  <Words>2641</Words>
  <Characters>18632</Characters>
  <CharactersWithSpaces>21584</CharactersWithSpaces>
  <Paragraphs>120</Paragraphs>
  <Company>EA</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2019-02-07T04:31:00Z</dcterms:created>
  <dc:creator>guzeva</dc:creator>
  <dc:description/>
  <dc:language>ru-RU</dc:language>
  <cp:lastModifiedBy/>
  <cp:lastPrinted>2022-09-22T14:12:44Z</cp:lastPrinted>
  <dcterms:modified xsi:type="dcterms:W3CDTF">2024-03-11T11:53:19Z</dcterms:modified>
  <cp:revision>20</cp:revision>
  <dc:subject/>
  <dc:title>Договор  поставки № 02 -Р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MarkAsFinal">
    <vt:bool>1</vt:bool>
  </property>
</Properties>
</file>